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B6" w:rsidRDefault="00B62BD9">
      <w:pPr>
        <w:pStyle w:val="Cm"/>
        <w:tabs>
          <w:tab w:val="left" w:pos="1843"/>
          <w:tab w:val="left" w:pos="7371"/>
        </w:tabs>
      </w:pPr>
      <w:r>
        <w:t>Fizika 3</w:t>
      </w:r>
    </w:p>
    <w:p w:rsidR="00E231B6" w:rsidRDefault="00B62BD9">
      <w:pPr>
        <w:pStyle w:val="Alcm"/>
        <w:tabs>
          <w:tab w:val="left" w:pos="1843"/>
          <w:tab w:val="left" w:pos="7371"/>
        </w:tabs>
      </w:pPr>
      <w:r>
        <w:t>Tipszmix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A lézersugárra jellemző koherencia …………………..... miatt alakul ki.</w:t>
      </w:r>
    </w:p>
    <w:p w:rsidR="00E231B6" w:rsidRDefault="00B62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8"/>
          <w:tab w:val="left" w:pos="1843"/>
          <w:tab w:val="left" w:pos="7371"/>
        </w:tabs>
        <w:spacing w:after="0"/>
      </w:pPr>
      <w:r>
        <w:rPr>
          <w:color w:val="000000"/>
        </w:rPr>
        <w:t>a jól meghatározott energianívók közti átmenet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8"/>
          <w:tab w:val="left" w:pos="1843"/>
          <w:tab w:val="left" w:pos="7371"/>
        </w:tabs>
        <w:spacing w:after="0"/>
      </w:pPr>
      <w:r>
        <w:rPr>
          <w:color w:val="000000"/>
        </w:rPr>
        <w:t>a spontán emisszió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8"/>
          <w:tab w:val="left" w:pos="1843"/>
          <w:tab w:val="left" w:pos="7371"/>
        </w:tabs>
        <w:spacing w:after="0"/>
      </w:pPr>
      <w:r>
        <w:rPr>
          <w:color w:val="000000"/>
        </w:rPr>
        <w:t>az indukált emisszió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7371"/>
        </w:tabs>
        <w:spacing w:after="0"/>
      </w:pPr>
      <w:r>
        <w:rPr>
          <w:color w:val="000000"/>
        </w:rPr>
        <w:t>a pumpálás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7371"/>
        </w:tabs>
        <w:spacing w:after="0"/>
      </w:pPr>
      <w:r>
        <w:t>populáció inverzió</w:t>
      </w:r>
      <w:r>
        <w:tab/>
        <w:t>H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A Schrödinger-egyenlet matematikai tulajdonságaiból következik</w:t>
      </w:r>
    </w:p>
    <w:p w:rsidR="00E231B6" w:rsidRDefault="00B62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az anyagmegmaradás (a kontiunitási egyenlet)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a hullámfüggvények folytonossága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a valószínűségi áramsűrűség kifejezése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a hullámfüggvények folytonos</w:t>
      </w:r>
      <w:r>
        <w:t>sága/folytonos</w:t>
      </w:r>
      <w:r>
        <w:rPr>
          <w:color w:val="000000"/>
        </w:rPr>
        <w:t xml:space="preserve"> deriválhatósága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t>impulzusm</w:t>
      </w:r>
      <w:r>
        <w:t>egmaradás</w:t>
      </w:r>
      <w:r>
        <w:tab/>
        <w:t>H</w:t>
      </w:r>
    </w:p>
    <w:p w:rsidR="00E231B6" w:rsidRDefault="00B62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t>az energia sajátértékek spektruma</w:t>
      </w:r>
      <w:r>
        <w:tab/>
        <w:t>I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 xml:space="preserve">A rácsrezgések </w:t>
      </w:r>
      <m:oMath>
        <m:r>
          <w:rPr>
            <w:rFonts w:ascii="Cambria Math" w:eastAsia="Cambria Math" w:hAnsi="Cambria Math" w:cs="Cambria Math"/>
          </w:rPr>
          <m:t>ω</m:t>
        </m:r>
        <m:r>
          <w:rPr>
            <w:rFonts w:ascii="Cambria Math" w:eastAsia="Cambria Math" w:hAnsi="Cambria Math" w:cs="Cambria Math"/>
          </w:rPr>
          <m:t>(</m:t>
        </m:r>
        <m:r>
          <w:rPr>
            <w:rFonts w:ascii="Cambria Math" w:eastAsia="Cambria Math" w:hAnsi="Cambria Math" w:cs="Cambria Math"/>
          </w:rPr>
          <m:t>q</m:t>
        </m:r>
        <m:r>
          <w:rPr>
            <w:rFonts w:ascii="Cambria Math" w:eastAsia="Cambria Math" w:hAnsi="Cambria Math" w:cs="Cambria Math"/>
          </w:rPr>
          <m:t>)</m:t>
        </m:r>
      </m:oMath>
      <w:r>
        <w:t xml:space="preserve"> diszperziós reláció mérésére alkalmas eljárás:</w:t>
      </w:r>
    </w:p>
    <w:p w:rsidR="00E231B6" w:rsidRDefault="00B62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neutron-diffrakció (rugalmas neutron szórás)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elektron-diffrakció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rugalmatlan neutron szórás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 w:line="240" w:lineRule="auto"/>
      </w:pPr>
      <w:r>
        <w:rPr>
          <w:color w:val="000000"/>
        </w:rPr>
        <w:t>Röntgen-diffrakció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15"/>
        </w:numPr>
        <w:tabs>
          <w:tab w:val="left" w:pos="1843"/>
          <w:tab w:val="left" w:pos="7371"/>
        </w:tabs>
        <w:spacing w:after="0"/>
      </w:pPr>
      <w:r>
        <w:t>rugalmas elektron-diffrakció</w:t>
      </w:r>
      <w:r>
        <w:tab/>
        <w:t>H</w:t>
      </w:r>
    </w:p>
    <w:p w:rsidR="00E231B6" w:rsidRDefault="00E231B6">
      <w:pPr>
        <w:tabs>
          <w:tab w:val="left" w:pos="1843"/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bookmarkStart w:id="0" w:name="_heading=h.gjdgxs" w:colFirst="0" w:colLast="0"/>
      <w:bookmarkEnd w:id="0"/>
      <w:r>
        <w:t>A fényelektromos jelenség során a kilökött elektron számát ……………. határozza meg.</w:t>
      </w:r>
    </w:p>
    <w:p w:rsidR="00E231B6" w:rsidRDefault="00B6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a fény intenzitása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  <w:r>
        <w:rPr>
          <w:color w:val="000000"/>
        </w:rPr>
        <w:t>a fény színe/hullámhossza/frekvenciája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az elektromos tér amplitúdója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</w:pPr>
      <w:r>
        <w:rPr>
          <w:color w:val="000000"/>
        </w:rPr>
        <w:t>a Poynting-vektor abszolút értéke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Kristályok diszkrét transzlációs szimmetriája nem engedi meg</w:t>
      </w:r>
    </w:p>
    <w:p w:rsidR="00E231B6" w:rsidRDefault="00B62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a 6-fogású forgási szimmetriát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az 5-fogású forgási szimmetriát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a 4-fogású forgási szimmetriát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</w:pPr>
      <w:r>
        <w:rPr>
          <w:color w:val="000000"/>
        </w:rPr>
        <w:t>a 3-fogású forgási szimmetriát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Debye-Scherrer módszerrel végzett rugalmas szóráskísérlet alkalmas</w:t>
      </w:r>
    </w:p>
    <w:p w:rsidR="00E231B6" w:rsidRDefault="00B6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szerkezet-meghatározásra pormintákon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szerkezet-meghatározásra egykristályon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kristályok orientációjának megállapítására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</w:pPr>
      <w:r>
        <w:rPr>
          <w:color w:val="000000"/>
        </w:rPr>
        <w:t>kristályok rácsrezgéseinek mérésére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A lézercsipesz által kifejtett erő nagyságrendje</w:t>
      </w:r>
    </w:p>
    <w:p w:rsidR="00E231B6" w:rsidRDefault="00B62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pN (pikonewton)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nN (nanonewton)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μN (mikronewton)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</w:pPr>
      <w:r>
        <w:rPr>
          <w:color w:val="000000"/>
        </w:rPr>
        <w:lastRenderedPageBreak/>
        <w:t>mN (milinewton)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A diszkrét transzlációs szimmetriából következik</w:t>
      </w:r>
    </w:p>
    <w:p w:rsidR="00E231B6" w:rsidRDefault="00B62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 w:line="240" w:lineRule="auto"/>
        <w:jc w:val="both"/>
      </w:pPr>
      <w:r>
        <w:rPr>
          <w:color w:val="000000"/>
        </w:rPr>
        <w:t>a p=ħk impulzus megmaradása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 w:line="240" w:lineRule="auto"/>
        <w:jc w:val="both"/>
      </w:pPr>
      <w:r>
        <w:rPr>
          <w:color w:val="000000"/>
        </w:rPr>
        <w:t>a Bragg-törvény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 w:line="240" w:lineRule="auto"/>
        <w:jc w:val="both"/>
      </w:pPr>
      <w:r>
        <w:rPr>
          <w:color w:val="000000"/>
        </w:rPr>
        <w:t>az energia megmaradása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 w:line="240" w:lineRule="auto"/>
        <w:jc w:val="both"/>
      </w:pPr>
      <w:r>
        <w:rPr>
          <w:color w:val="000000"/>
        </w:rPr>
        <w:t>a Neumann-elv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 w:line="240" w:lineRule="auto"/>
        <w:jc w:val="both"/>
      </w:pPr>
      <w:r>
        <w:t>kvázi-impulzus megmaradása</w:t>
      </w:r>
      <w:r>
        <w:tab/>
        <w:t>I</w:t>
      </w:r>
    </w:p>
    <w:p w:rsidR="00E231B6" w:rsidRDefault="00B62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 w:line="240" w:lineRule="auto"/>
        <w:jc w:val="both"/>
      </w:pPr>
      <w:r>
        <w:t>impulzus-momentum megmaradása</w:t>
      </w:r>
      <w:r>
        <w:tab/>
        <w:t>H</w:t>
      </w:r>
    </w:p>
    <w:p w:rsidR="00E231B6" w:rsidRDefault="00E231B6">
      <w:pPr>
        <w:tabs>
          <w:tab w:val="left" w:pos="7371"/>
        </w:tabs>
        <w:spacing w:after="0" w:line="240" w:lineRule="auto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Egy szabad részecske [síkhullám] hullámfüggvénye</w:t>
      </w:r>
      <w:r>
        <w:tab/>
      </w:r>
    </w:p>
    <w:p w:rsidR="00E231B6" w:rsidRDefault="00B62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Gauss-függvény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a helytől független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Dirac-delta függvény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hely sajátállapot 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t>idő sajátállapot</w:t>
      </w:r>
      <w:r>
        <w:tab/>
        <w:t>H</w:t>
      </w:r>
    </w:p>
    <w:p w:rsidR="00E231B6" w:rsidRDefault="00B62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t>síkhullám</w:t>
      </w:r>
      <w:r>
        <w:tab/>
      </w:r>
      <w:r>
        <w:tab/>
        <w:t>I</w:t>
      </w:r>
    </w:p>
    <w:p w:rsidR="00E231B6" w:rsidRDefault="00B62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t>hullámcsomag</w:t>
      </w:r>
      <w:r>
        <w:tab/>
      </w:r>
      <w:r>
        <w:t>H</w:t>
      </w:r>
    </w:p>
    <w:p w:rsidR="00E231B6" w:rsidRDefault="00B62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t>impulzus sajátállapot</w:t>
      </w:r>
      <w:r>
        <w:tab/>
        <w:t>I</w:t>
      </w:r>
    </w:p>
    <w:p w:rsidR="00E231B6" w:rsidRDefault="00B62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t>energia sajátállapot</w:t>
      </w:r>
      <w:r>
        <w:tab/>
        <w:t>I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A kristály inverziós szimmetriájának hiánya miatt fellépő jelenség</w:t>
      </w:r>
    </w:p>
    <w:p w:rsidR="00E231B6" w:rsidRDefault="00B62B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a piezoelektromosság 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optikai kvatrokromizmus 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kvantum-Hall effektus 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</w:pPr>
      <w:r>
        <w:rPr>
          <w:color w:val="000000"/>
        </w:rPr>
        <w:t xml:space="preserve">spin-Hall effektus 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Kristályok szerkezetvizsgálatára alkalmas sugárforrás a</w:t>
      </w:r>
    </w:p>
    <w:p w:rsidR="00E231B6" w:rsidRDefault="00B62BD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szabad-elektron lézer sugárzása </w:t>
      </w:r>
      <w:r>
        <w:rPr>
          <w:color w:val="000000"/>
        </w:rPr>
        <w:tab/>
        <w:t>I</w:t>
      </w:r>
    </w:p>
    <w:p w:rsidR="00E231B6" w:rsidRDefault="00B62BD9">
      <w:pPr>
        <w:keepNext/>
        <w:numPr>
          <w:ilvl w:val="0"/>
          <w:numId w:val="8"/>
        </w:numPr>
        <w:tabs>
          <w:tab w:val="left" w:pos="1843"/>
          <w:tab w:val="left" w:pos="7371"/>
        </w:tabs>
        <w:spacing w:after="0"/>
      </w:pPr>
      <w:r>
        <w:t>elektron nyaláb</w:t>
      </w:r>
      <w:r>
        <w:tab/>
        <w:t>I</w:t>
      </w:r>
    </w:p>
    <w:p w:rsidR="00E231B6" w:rsidRDefault="00B62BD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Röntgen-cső </w:t>
      </w:r>
      <w:r>
        <w:rPr>
          <w:color w:val="000000"/>
        </w:rPr>
        <w:tab/>
        <w:t>I</w:t>
      </w:r>
    </w:p>
    <w:p w:rsidR="00E231B6" w:rsidRDefault="00B62BD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t>szinkrotron</w:t>
      </w:r>
      <w:r>
        <w:rPr>
          <w:color w:val="000000"/>
        </w:rPr>
        <w:t xml:space="preserve"> sugárzás </w:t>
      </w:r>
      <w:r>
        <w:rPr>
          <w:color w:val="000000"/>
        </w:rPr>
        <w:tab/>
        <w:t>I</w:t>
      </w:r>
    </w:p>
    <w:p w:rsidR="00E231B6" w:rsidRDefault="00B62BD9">
      <w:pPr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ciklotron sugárzás </w:t>
      </w:r>
      <w:r>
        <w:rPr>
          <w:color w:val="000000"/>
        </w:rPr>
        <w:tab/>
        <w:t>H</w:t>
      </w:r>
    </w:p>
    <w:p w:rsidR="00E231B6" w:rsidRDefault="00B62BD9">
      <w:pPr>
        <w:keepNext/>
        <w:numPr>
          <w:ilvl w:val="0"/>
          <w:numId w:val="8"/>
        </w:numPr>
        <w:tabs>
          <w:tab w:val="left" w:pos="1843"/>
          <w:tab w:val="left" w:pos="7371"/>
        </w:tabs>
        <w:spacing w:after="0"/>
      </w:pPr>
      <w:r>
        <w:t xml:space="preserve">Rubin-lézer sugárzása </w:t>
      </w:r>
      <w:r>
        <w:tab/>
        <w:t>H</w:t>
      </w:r>
    </w:p>
    <w:p w:rsidR="00E231B6" w:rsidRDefault="00B62BD9">
      <w:pPr>
        <w:numPr>
          <w:ilvl w:val="0"/>
          <w:numId w:val="8"/>
        </w:numPr>
        <w:tabs>
          <w:tab w:val="left" w:pos="7371"/>
        </w:tabs>
        <w:spacing w:after="0"/>
      </w:pPr>
      <w:r>
        <w:t>spallációs forrás</w:t>
      </w:r>
      <w:r>
        <w:tab/>
        <w:t>I</w:t>
      </w:r>
    </w:p>
    <w:p w:rsidR="00E231B6" w:rsidRDefault="00B62BD9">
      <w:pPr>
        <w:numPr>
          <w:ilvl w:val="0"/>
          <w:numId w:val="8"/>
        </w:numPr>
        <w:tabs>
          <w:tab w:val="left" w:pos="7371"/>
        </w:tabs>
        <w:spacing w:after="0"/>
      </w:pPr>
      <w:r>
        <w:t>neutron-nyaláb</w:t>
      </w:r>
      <w:r>
        <w:tab/>
        <w:t>H?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Az elektron hullámszerű terjedését bizonyítja az elektronmikroszkóppal történő</w:t>
      </w:r>
    </w:p>
    <w:p w:rsidR="00E231B6" w:rsidRDefault="00B62B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  <w:r>
        <w:rPr>
          <w:color w:val="000000"/>
        </w:rPr>
        <w:t xml:space="preserve">fókuszálás 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  <w:r>
        <w:rPr>
          <w:color w:val="000000"/>
        </w:rPr>
        <w:t xml:space="preserve">képalkotás 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  <w:r>
        <w:rPr>
          <w:color w:val="000000"/>
        </w:rPr>
        <w:t xml:space="preserve">diffrakció 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„dark-field image” készítés 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0"/>
        </w:numPr>
        <w:tabs>
          <w:tab w:val="left" w:pos="7371"/>
        </w:tabs>
        <w:spacing w:after="0"/>
      </w:pPr>
      <w:r>
        <w:t>hologram készítés</w:t>
      </w:r>
      <w:r>
        <w:tab/>
        <w:t>H</w:t>
      </w:r>
    </w:p>
    <w:p w:rsidR="00E231B6" w:rsidRDefault="00B62BD9">
      <w:pPr>
        <w:numPr>
          <w:ilvl w:val="0"/>
          <w:numId w:val="10"/>
        </w:numPr>
        <w:tabs>
          <w:tab w:val="left" w:pos="7371"/>
        </w:tabs>
        <w:spacing w:after="0"/>
      </w:pPr>
      <w:r>
        <w:t>kristályszerkezet-meghatározás</w:t>
      </w:r>
      <w:r>
        <w:tab/>
        <w:t>I</w:t>
      </w:r>
    </w:p>
    <w:p w:rsidR="00E231B6" w:rsidRDefault="00B62BD9">
      <w:pPr>
        <w:numPr>
          <w:ilvl w:val="0"/>
          <w:numId w:val="10"/>
        </w:numPr>
        <w:tabs>
          <w:tab w:val="left" w:pos="7371"/>
        </w:tabs>
        <w:spacing w:after="0"/>
      </w:pPr>
      <w:r>
        <w:t>„dark-field image” készítés</w:t>
      </w:r>
      <w:r>
        <w:tab/>
        <w:t>I</w:t>
      </w:r>
    </w:p>
    <w:p w:rsidR="00E231B6" w:rsidRDefault="00B62BD9">
      <w:pPr>
        <w:numPr>
          <w:ilvl w:val="0"/>
          <w:numId w:val="10"/>
        </w:numPr>
        <w:tabs>
          <w:tab w:val="left" w:pos="7371"/>
        </w:tabs>
        <w:spacing w:after="0"/>
      </w:pPr>
      <w:r>
        <w:t>fáziszkontraszt-képzés</w:t>
      </w:r>
      <w:r>
        <w:tab/>
        <w:t>?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lastRenderedPageBreak/>
        <w:t>A foton impulzusának nagysága</w:t>
      </w:r>
    </w:p>
    <w:p w:rsidR="00E231B6" w:rsidRDefault="00E231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rPr>
          <w:color w:val="00000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ħ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λ</m:t>
            </m:r>
          </m:den>
        </m:f>
      </m:oMath>
      <w:r w:rsidR="00B62BD9">
        <w:rPr>
          <w:color w:val="000000"/>
        </w:rPr>
        <w:t xml:space="preserve"> </w:t>
      </w:r>
      <w:r w:rsidR="00B62BD9">
        <w:rPr>
          <w:color w:val="000000"/>
        </w:rPr>
        <w:tab/>
        <w:t>H</w:t>
      </w:r>
    </w:p>
    <w:p w:rsidR="00E231B6" w:rsidRDefault="00B62B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h</m:t>
        </m:r>
        <m:r>
          <w:rPr>
            <w:rFonts w:ascii="Cambria Math" w:eastAsia="Cambria Math" w:hAnsi="Cambria Math" w:cs="Cambria Math"/>
            <w:color w:val="000000"/>
          </w:rPr>
          <m:t>k</m:t>
        </m:r>
      </m:oMath>
      <w:r>
        <w:rPr>
          <w:color w:val="000000"/>
        </w:rPr>
        <w:t xml:space="preserve"> </w:t>
      </w:r>
      <w:r>
        <w:rPr>
          <w:color w:val="000000"/>
        </w:rPr>
        <w:tab/>
        <w:t>H</w:t>
      </w:r>
    </w:p>
    <w:p w:rsidR="00E231B6" w:rsidRDefault="00E231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rPr>
          <w:color w:val="00000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hv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c</m:t>
            </m:r>
          </m:den>
        </m:f>
      </m:oMath>
      <w:r w:rsidR="00B62BD9">
        <w:rPr>
          <w:color w:val="000000"/>
        </w:rPr>
        <w:t xml:space="preserve"> </w:t>
      </w:r>
      <w:r w:rsidR="00B62BD9">
        <w:rPr>
          <w:color w:val="000000"/>
        </w:rPr>
        <w:tab/>
        <w:t>I</w:t>
      </w:r>
    </w:p>
    <w:p w:rsidR="00E231B6" w:rsidRDefault="00E231B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rPr>
          <w:color w:val="00000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ħv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c</m:t>
            </m:r>
          </m:den>
        </m:f>
      </m:oMath>
      <w:r w:rsidR="00B62BD9">
        <w:rPr>
          <w:color w:val="000000"/>
        </w:rPr>
        <w:t xml:space="preserve"> </w:t>
      </w:r>
      <w:r w:rsidR="00B62BD9">
        <w:rPr>
          <w:color w:val="000000"/>
        </w:rPr>
        <w:tab/>
        <w:t>H</w:t>
      </w:r>
    </w:p>
    <w:p w:rsidR="00E231B6" w:rsidRDefault="00B62BD9">
      <w:pPr>
        <w:numPr>
          <w:ilvl w:val="0"/>
          <w:numId w:val="11"/>
        </w:numPr>
        <w:tabs>
          <w:tab w:val="left" w:pos="7371"/>
        </w:tabs>
        <w:spacing w:after="0"/>
      </w:pPr>
      <m:oMath>
        <m:r>
          <w:rPr>
            <w:rFonts w:ascii="Cambria Math" w:eastAsia="Cambria Math" w:hAnsi="Cambria Math" w:cs="Cambria Math"/>
          </w:rPr>
          <m:t>ħ</m:t>
        </m:r>
        <m:r>
          <w:rPr>
            <w:rFonts w:ascii="Cambria Math" w:eastAsia="Cambria Math" w:hAnsi="Cambria Math" w:cs="Cambria Math"/>
          </w:rPr>
          <m:t>k</m:t>
        </m:r>
      </m:oMath>
      <w:r>
        <w:t xml:space="preserve"> </w:t>
      </w:r>
      <w:r>
        <w:tab/>
        <w:t>I</w:t>
      </w:r>
    </w:p>
    <w:p w:rsidR="00E231B6" w:rsidRDefault="00B62BD9">
      <w:pPr>
        <w:numPr>
          <w:ilvl w:val="0"/>
          <w:numId w:val="11"/>
        </w:numPr>
        <w:tabs>
          <w:tab w:val="left" w:pos="7371"/>
        </w:tabs>
        <w:spacing w:after="0"/>
      </w:pPr>
      <w:r>
        <w:t>h/lambda</w:t>
      </w:r>
      <w:r>
        <w:tab/>
        <w:t>I</w:t>
      </w:r>
    </w:p>
    <w:p w:rsidR="00E231B6" w:rsidRDefault="00E231B6">
      <w:pPr>
        <w:tabs>
          <w:tab w:val="left" w:pos="7371"/>
        </w:tabs>
        <w:spacing w:after="0"/>
        <w:ind w:left="72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 xml:space="preserve">Az </w:t>
      </w:r>
      <m:oMath>
        <m:r>
          <w:rPr>
            <w:rFonts w:ascii="Cambria Math" w:eastAsia="Cambria Math" w:hAnsi="Cambria Math" w:cs="Cambria Math"/>
          </w:rPr>
          <m:t>A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e</m:t>
            </m:r>
          </m:e>
          <m:sup>
            <m:r>
              <w:rPr>
                <w:rFonts w:ascii="Cambria Math" w:eastAsia="Cambria Math" w:hAnsi="Cambria Math" w:cs="Cambria Math"/>
              </w:rPr>
              <m:t>i{kx+Φ</m:t>
            </m:r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</w:rPr>
                  <m:t>t</m:t>
                </m:r>
              </m:e>
            </m:d>
            <m:r>
              <w:rPr>
                <w:rFonts w:ascii="Cambria Math" w:eastAsia="Cambria Math" w:hAnsi="Cambria Math" w:cs="Cambria Math"/>
              </w:rPr>
              <m:t>}</m:t>
            </m:r>
          </m:sup>
        </m:sSup>
      </m:oMath>
      <w:r>
        <w:t xml:space="preserve"> hullámfüggvénnyel leírt elektronhoz tartozó valószínűségi áramsűrűség:</w:t>
      </w:r>
    </w:p>
    <w:p w:rsidR="00E231B6" w:rsidRDefault="00E231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rPr>
          <w:color w:val="000000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A</m:t>
                </m:r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sup>
        </m:sSup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∂φ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∂t</m:t>
            </m:r>
          </m:den>
        </m:f>
      </m:oMath>
      <w:r w:rsidR="00B62BD9">
        <w:rPr>
          <w:color w:val="000000"/>
        </w:rPr>
        <w:t xml:space="preserve"> </w:t>
      </w:r>
      <w:r w:rsidR="00B62BD9">
        <w:rPr>
          <w:color w:val="000000"/>
        </w:rPr>
        <w:tab/>
        <w:t>H</w:t>
      </w:r>
    </w:p>
    <w:p w:rsidR="00E231B6" w:rsidRDefault="00E231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rPr>
          <w:color w:val="000000"/>
        </w:rPr>
      </w:pP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A</m:t>
            </m:r>
          </m:e>
        </m:d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∂φ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∂t</m:t>
            </m:r>
          </m:den>
        </m:f>
      </m:oMath>
      <w:r w:rsidR="00B62BD9">
        <w:rPr>
          <w:color w:val="000000"/>
        </w:rPr>
        <w:t xml:space="preserve"> </w:t>
      </w:r>
      <w:r w:rsidR="00B62BD9">
        <w:rPr>
          <w:color w:val="000000"/>
        </w:rPr>
        <w:tab/>
        <w:t>H</w:t>
      </w:r>
    </w:p>
    <w:p w:rsidR="00E231B6" w:rsidRDefault="00E231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rPr>
          <w:color w:val="000000"/>
        </w:rPr>
      </w:pPr>
      <m:oMath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d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A</m:t>
                </m:r>
              </m:e>
            </m:d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sup>
        </m:sSup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ħk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m</m:t>
            </m:r>
          </m:den>
        </m:f>
      </m:oMath>
      <w:r w:rsidR="00B62BD9">
        <w:rPr>
          <w:color w:val="000000"/>
        </w:rPr>
        <w:t xml:space="preserve"> </w:t>
      </w:r>
      <w:r w:rsidR="00B62BD9">
        <w:rPr>
          <w:color w:val="000000"/>
        </w:rPr>
        <w:tab/>
        <w:t>I</w:t>
      </w:r>
    </w:p>
    <w:p w:rsidR="00E231B6" w:rsidRDefault="00E231B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color w:val="000000"/>
        </w:rPr>
      </w:pPr>
      <m:oMath>
        <m:d>
          <m:dPr>
            <m:begChr m:val="|"/>
            <m:endChr m:val="|"/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A</m:t>
            </m:r>
          </m:e>
        </m:d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ħk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m</m:t>
            </m:r>
          </m:den>
        </m:f>
      </m:oMath>
      <w:r w:rsidR="00B62BD9">
        <w:rPr>
          <w:color w:val="000000"/>
        </w:rPr>
        <w:t xml:space="preserve"> </w:t>
      </w:r>
      <w:r w:rsidR="00B62BD9"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A szilárd testek fajhőjét leíró Debye-modell feltevése az</w:t>
      </w:r>
    </w:p>
    <w:p w:rsidR="00E231B6" w:rsidRDefault="00B62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ekvipartició-tétel érvényessége 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ω</m:t>
        </m:r>
        <m:r>
          <w:rPr>
            <w:rFonts w:ascii="Cambria Math" w:eastAsia="Cambria Math" w:hAnsi="Cambria Math" w:cs="Cambria Math"/>
            <w:color w:val="000000"/>
          </w:rPr>
          <m:t xml:space="preserve"> ~ |</m:t>
        </m:r>
        <m:box>
          <m:boxPr>
            <m:opEmu m:val="on"/>
            <m:ctrlPr>
              <w:rPr>
                <w:rFonts w:ascii="Cambria Math" w:eastAsia="Cambria Math" w:hAnsi="Cambria Math" w:cs="Cambria Math"/>
                <w:color w:val="000000"/>
              </w:rPr>
            </m:ctrlPr>
          </m:boxPr>
          <m:e>
            <m:r>
              <w:rPr>
                <w:rFonts w:ascii="Cambria Math" w:eastAsia="Cambria Math" w:hAnsi="Cambria Math" w:cs="Cambria Math"/>
                <w:color w:val="000000"/>
              </w:rPr>
              <m:t>sin</m:t>
            </m:r>
          </m:e>
        </m:box>
        <m:r>
          <w:rPr>
            <w:rFonts w:ascii="Cambria Math" w:eastAsia="Cambria Math" w:hAnsi="Cambria Math" w:cs="Cambria Math"/>
            <w:color w:val="000000"/>
          </w:rPr>
          <m:t>sin</m:t>
        </m:r>
        <m:r>
          <w:rPr>
            <w:color w:val="000000"/>
          </w:rPr>
          <m:t xml:space="preserve"> </m:t>
        </m:r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qa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den>
        </m:f>
        <m:r>
          <w:rPr>
            <w:rFonts w:ascii="Cambria Math" w:eastAsia="Cambria Math" w:hAnsi="Cambria Math" w:cs="Cambria Math"/>
            <w:color w:val="000000"/>
          </w:rPr>
          <m:t xml:space="preserve">| </m:t>
        </m:r>
        <m:r>
          <w:rPr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</w:rPr>
          <m:t xml:space="preserve"> </m:t>
        </m:r>
      </m:oMath>
      <w:r>
        <w:rPr>
          <w:color w:val="000000"/>
        </w:rPr>
        <w:t xml:space="preserve">alakú diszperziós reláció 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izotrop anyag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m:oMath>
        <m:r>
          <w:rPr>
            <w:rFonts w:ascii="Cambria Math" w:eastAsia="Cambria Math" w:hAnsi="Cambria Math" w:cs="Cambria Math"/>
            <w:color w:val="000000"/>
          </w:rPr>
          <m:t>ω</m:t>
        </m:r>
        <m:r>
          <w:rPr>
            <w:rFonts w:ascii="Cambria Math" w:eastAsia="Cambria Math" w:hAnsi="Cambria Math" w:cs="Cambria Math"/>
            <w:color w:val="000000"/>
          </w:rPr>
          <m:t xml:space="preserve"> ~ |</m:t>
        </m:r>
        <m:r>
          <w:rPr>
            <w:rFonts w:ascii="Cambria Math" w:eastAsia="Cambria Math" w:hAnsi="Cambria Math" w:cs="Cambria Math"/>
            <w:color w:val="000000"/>
          </w:rPr>
          <m:t>q</m:t>
        </m:r>
        <m:r>
          <w:rPr>
            <w:rFonts w:ascii="Cambria Math" w:eastAsia="Cambria Math" w:hAnsi="Cambria Math" w:cs="Cambria Math"/>
            <w:color w:val="000000"/>
          </w:rPr>
          <m:t>|</m:t>
        </m:r>
      </m:oMath>
      <w:r>
        <w:rPr>
          <w:color w:val="000000"/>
        </w:rPr>
        <w:t xml:space="preserve"> alakú diszperziós reláció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6"/>
        </w:numPr>
        <w:tabs>
          <w:tab w:val="left" w:pos="1843"/>
          <w:tab w:val="left" w:pos="7371"/>
        </w:tabs>
        <w:spacing w:after="0"/>
      </w:pPr>
      <w:r>
        <w:t>kvadratikus diszperziós reláció</w:t>
      </w:r>
      <w:r>
        <w:tab/>
        <w:t>H</w:t>
      </w:r>
    </w:p>
    <w:p w:rsidR="00E231B6" w:rsidRDefault="00B62BD9">
      <w:pPr>
        <w:numPr>
          <w:ilvl w:val="0"/>
          <w:numId w:val="16"/>
        </w:numPr>
        <w:tabs>
          <w:tab w:val="left" w:pos="1843"/>
          <w:tab w:val="left" w:pos="7371"/>
        </w:tabs>
        <w:spacing w:after="0"/>
      </w:pPr>
      <w:r>
        <w:t>lineáris diszperziós reláció</w:t>
      </w:r>
      <w:r>
        <w:tab/>
        <w:t>I</w:t>
      </w:r>
    </w:p>
    <w:p w:rsidR="00E231B6" w:rsidRDefault="00B62BD9">
      <w:pPr>
        <w:numPr>
          <w:ilvl w:val="0"/>
          <w:numId w:val="16"/>
        </w:numPr>
        <w:tabs>
          <w:tab w:val="left" w:pos="7371"/>
        </w:tabs>
        <w:spacing w:after="0"/>
      </w:pPr>
      <w:r>
        <w:t>a Maxwell-eloszlás</w:t>
      </w:r>
      <w:r>
        <w:tab/>
        <w:t>H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 xml:space="preserve">A kristályrácsot definiáló 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1</m:t>
                </m:r>
              </m:sub>
            </m:sSub>
          </m:e>
        </m:acc>
      </m:oMath>
      <w:r>
        <w:t xml:space="preserve">,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2</m:t>
                </m:r>
              </m:sub>
            </m:sSub>
          </m:e>
        </m:acc>
      </m:oMath>
      <w:r>
        <w:t xml:space="preserve"> és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Cambria Math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Cambria Math"/>
                  </w:rPr>
                  <m:t>3</m:t>
                </m:r>
              </m:sub>
            </m:sSub>
          </m:e>
        </m:acc>
      </m:oMath>
      <w:r>
        <w:t xml:space="preserve"> bázisvektorok</w:t>
      </w:r>
    </w:p>
    <w:p w:rsidR="00E231B6" w:rsidRDefault="00B62B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  <m:acc>
              <m:accPr>
                <m:chr m:val="⃗"/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color w:val="000000"/>
        </w:rPr>
        <w:t xml:space="preserve"> szorzat értéke nulla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lineárisan függetlenek 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hármas-szorzata, azaz az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b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Cambria Math"/>
                    <w:color w:val="000000"/>
                  </w:rPr>
                  <m:t>1</m:t>
                </m:r>
              </m:sub>
            </m:sSub>
          </m:e>
        </m:acc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eastAsia="Cambria Math" w:hAnsi="Cambria Math" w:cs="Cambria Math"/>
                <w:color w:val="000000"/>
              </w:rPr>
              <m:t>x</m:t>
            </m:r>
            <m:acc>
              <m:accPr>
                <m:chr m:val="⃗"/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color w:val="000000"/>
        </w:rPr>
        <w:t xml:space="preserve"> szorzat értéke a Winger-Seitz cella térfogata </w:t>
      </w:r>
      <w:r>
        <w:rPr>
          <w:color w:val="000000"/>
        </w:rPr>
        <w:tab/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>által kifeszített parallelepipedon a Wigner-Seitz cella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17"/>
        </w:numPr>
        <w:tabs>
          <w:tab w:val="left" w:pos="7371"/>
        </w:tabs>
        <w:spacing w:after="0"/>
      </w:pPr>
      <w:r>
        <w:t>által kifeszített parallelepipedon egy elemi cella</w:t>
      </w:r>
      <w:r>
        <w:tab/>
        <w:t>I</w:t>
      </w:r>
    </w:p>
    <w:p w:rsidR="00E231B6" w:rsidRDefault="00B62BD9">
      <w:pPr>
        <w:numPr>
          <w:ilvl w:val="0"/>
          <w:numId w:val="17"/>
        </w:numPr>
        <w:tabs>
          <w:tab w:val="left" w:pos="7371"/>
        </w:tabs>
        <w:spacing w:after="0"/>
      </w:pPr>
      <w:r>
        <w:t>által kifeszített parallelepipedon a primitív cella</w:t>
      </w:r>
      <w:r>
        <w:tab/>
        <w:t>I</w:t>
      </w:r>
    </w:p>
    <w:p w:rsidR="00E231B6" w:rsidRDefault="00B62BD9">
      <w:pPr>
        <w:numPr>
          <w:ilvl w:val="0"/>
          <w:numId w:val="17"/>
        </w:numPr>
        <w:tabs>
          <w:tab w:val="left" w:pos="7371"/>
        </w:tabs>
        <w:spacing w:after="0"/>
      </w:pPr>
      <w:r>
        <w:t>által kifeszített parallelepipedon térfo</w:t>
      </w:r>
      <w:r>
        <w:t>gata megegyezik a W-S cella térfogatával</w:t>
      </w:r>
      <w:r>
        <w:tab/>
      </w:r>
      <w:r>
        <w:tab/>
        <w:t>I</w:t>
      </w:r>
    </w:p>
    <w:p w:rsidR="00E231B6" w:rsidRDefault="00E231B6">
      <w:pPr>
        <w:tabs>
          <w:tab w:val="left" w:pos="7371"/>
        </w:tabs>
        <w:spacing w:after="0"/>
        <w:ind w:left="72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 xml:space="preserve">Az impulzus és a hely kommutátora a </w:t>
      </w:r>
    </w:p>
    <w:p w:rsidR="00E231B6" w:rsidRDefault="00E231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rPr>
          <w:color w:val="00000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ħ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i</m:t>
            </m:r>
          </m:den>
        </m:f>
      </m:oMath>
      <w:r w:rsidR="00B62BD9">
        <w:rPr>
          <w:color w:val="000000"/>
        </w:rPr>
        <w:t xml:space="preserve"> </w:t>
      </w:r>
      <w:r w:rsidR="00B62BD9">
        <w:rPr>
          <w:color w:val="000000"/>
        </w:rPr>
        <w:tab/>
        <w:t>I</w:t>
      </w:r>
    </w:p>
    <w:p w:rsidR="00E231B6" w:rsidRDefault="00E231B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rPr>
          <w:color w:val="000000"/>
        </w:rPr>
      </w:pPr>
      <m:oMath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r>
              <w:rPr>
                <w:rFonts w:ascii="Cambria Math" w:eastAsia="Cambria Math" w:hAnsi="Cambria Math" w:cs="Cambria Math"/>
                <w:color w:val="000000"/>
              </w:rPr>
              <m:t>ħ</m:t>
            </m:r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2</m:t>
            </m:r>
          </m:den>
        </m:f>
      </m:oMath>
      <w:r w:rsidR="00B62BD9">
        <w:rPr>
          <w:color w:val="000000"/>
        </w:rPr>
        <w:t xml:space="preserve"> </w:t>
      </w:r>
      <w:r w:rsidR="00B62BD9">
        <w:rPr>
          <w:color w:val="000000"/>
        </w:rPr>
        <w:tab/>
        <w:t>H</w:t>
      </w:r>
    </w:p>
    <w:p w:rsidR="00E231B6" w:rsidRDefault="00B62B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ħ</m:t>
        </m:r>
      </m:oMath>
      <w:r>
        <w:rPr>
          <w:color w:val="000000"/>
        </w:rPr>
        <w:t xml:space="preserve"> 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rPr>
          <w:color w:val="000000"/>
        </w:rPr>
      </w:pPr>
      <m:oMath>
        <m:r>
          <w:rPr>
            <w:rFonts w:ascii="Cambria Math" w:eastAsia="Cambria Math" w:hAnsi="Cambria Math" w:cs="Cambria Math"/>
            <w:color w:val="000000"/>
          </w:rPr>
          <m:t>-</m:t>
        </m:r>
        <m:r>
          <w:rPr>
            <w:rFonts w:ascii="Cambria Math" w:eastAsia="Cambria Math" w:hAnsi="Cambria Math" w:cs="Cambria Math"/>
            <w:color w:val="000000"/>
          </w:rPr>
          <m:t>i</m:t>
        </m:r>
        <m:r>
          <w:rPr>
            <w:rFonts w:ascii="Cambria Math" w:eastAsia="Cambria Math" w:hAnsi="Cambria Math" w:cs="Cambria Math"/>
            <w:color w:val="000000"/>
          </w:rPr>
          <m:t>ħ</m:t>
        </m:r>
      </m:oMath>
      <w:r>
        <w:rPr>
          <w:color w:val="000000"/>
        </w:rPr>
        <w:t xml:space="preserve"> 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A Laue-módszerrel végzett rugalmas szóráskísérlet alkalmas</w:t>
      </w:r>
    </w:p>
    <w:p w:rsidR="00E231B6" w:rsidRDefault="00B62BD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szerkezet-meghatározásra pormintákon </w:t>
      </w:r>
      <w:r>
        <w:rPr>
          <w:color w:val="000000"/>
        </w:rPr>
        <w:tab/>
        <w:t>H</w:t>
      </w:r>
    </w:p>
    <w:p w:rsidR="00E231B6" w:rsidRDefault="00B62BD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kristályok szimmetriájának megállapítására 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kristályok orientációjának megállapítására 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  <w:r>
        <w:rPr>
          <w:color w:val="000000"/>
        </w:rPr>
        <w:t xml:space="preserve">szerkezet-meghatározásra egykristályokon </w:t>
      </w:r>
      <w:r>
        <w:rPr>
          <w:color w:val="000000"/>
        </w:rPr>
        <w:tab/>
        <w:t>I</w:t>
      </w:r>
    </w:p>
    <w:p w:rsidR="00E231B6" w:rsidRDefault="00B62BD9">
      <w:pPr>
        <w:numPr>
          <w:ilvl w:val="0"/>
          <w:numId w:val="19"/>
        </w:numPr>
        <w:tabs>
          <w:tab w:val="left" w:pos="7371"/>
        </w:tabs>
        <w:spacing w:after="0"/>
      </w:pPr>
      <w:r>
        <w:lastRenderedPageBreak/>
        <w:t>kristályok rácsrezgéseinek mérésére</w:t>
      </w:r>
      <w:r>
        <w:tab/>
        <w:t>H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 xml:space="preserve">Az atomok lineáris láncával modellezett 1 dimenziós kristály rácsrezgéseinek </w:t>
      </w:r>
      <m:oMath>
        <m:r>
          <w:rPr>
            <w:rFonts w:ascii="Cambria Math" w:eastAsia="Cambria Math" w:hAnsi="Cambria Math" w:cs="Cambria Math"/>
          </w:rPr>
          <m:t>ω</m:t>
        </m:r>
        <m:r>
          <w:rPr>
            <w:rFonts w:ascii="Cambria Math" w:eastAsia="Cambria Math" w:hAnsi="Cambria Math" w:cs="Cambria Math"/>
          </w:rPr>
          <m:t>(</m:t>
        </m:r>
        <m:r>
          <w:rPr>
            <w:rFonts w:ascii="Cambria Math" w:eastAsia="Cambria Math" w:hAnsi="Cambria Math" w:cs="Cambria Math"/>
          </w:rPr>
          <m:t>q</m:t>
        </m:r>
        <m:r>
          <w:rPr>
            <w:rFonts w:ascii="Cambria Math" w:eastAsia="Cambria Math" w:hAnsi="Cambria Math" w:cs="Cambria Math"/>
          </w:rPr>
          <m:t>)</m:t>
        </m:r>
      </m:oMath>
      <w:r>
        <w:t xml:space="preserve"> diszperziós relációja rendelkezik az alábbi</w:t>
      </w:r>
      <w:r>
        <w:t xml:space="preserve"> tulajdonsággal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  <w:ind w:hanging="360"/>
      </w:pPr>
      <w:r>
        <w:rPr>
          <w:color w:val="000000"/>
        </w:rPr>
        <w:t xml:space="preserve">lineárisan indul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  <w:ind w:hanging="360"/>
      </w:pPr>
      <w:r>
        <w:rPr>
          <w:color w:val="000000"/>
        </w:rPr>
        <w:t xml:space="preserve">minden információt tartalmaz az első Brillouin-zóna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  <w:ind w:hanging="360"/>
      </w:pPr>
      <w:r>
        <w:rPr>
          <w:color w:val="000000"/>
        </w:rPr>
        <w:t xml:space="preserve">tetszóleges reciprok rácsvektorral eltolva megismétlődik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ind w:hanging="360"/>
      </w:pPr>
      <w:r>
        <w:rPr>
          <w:color w:val="000000"/>
        </w:rPr>
        <w:t>a Brilloun-zóna határán minimuma van</w:t>
      </w:r>
      <w:r>
        <w:rPr>
          <w:color w:val="000000"/>
        </w:rPr>
        <w:tab/>
        <w:t>H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1843"/>
          <w:tab w:val="left" w:pos="7371"/>
        </w:tabs>
      </w:pPr>
      <w:r>
        <w:t>A szinkrotron sugárzás tulajdonsága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széles hullámszám-tartomány </w:t>
      </w:r>
      <w:r>
        <w:rPr>
          <w:color w:val="000000"/>
        </w:rPr>
        <w:tab/>
      </w:r>
      <w:r>
        <w:rPr>
          <w:color w:val="000000"/>
        </w:rPr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nagy intenzitás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koherencia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impulzus-szerű üzemmód </w:t>
      </w:r>
      <w:r>
        <w:rPr>
          <w:color w:val="000000"/>
        </w:rPr>
        <w:tab/>
        <w:t>I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fényelektromos jelenség során a kilökött elektron energiáját a(z) ……………. határozza meg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fény-nyomás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fény színe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elektromos tér amplitúdója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elektromágneses hullám frekvenciája 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hőmérsékleti sugárzás nagy frekvenciákon nullához tart, mert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frekvencia növelésével a szabadsági fokok száma csökken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frekvencia növelésével a rezgési modusok száma csökken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</w:t>
      </w:r>
      <m:oMath>
        <m:r>
          <w:rPr>
            <w:rFonts w:ascii="Cambria Math" w:eastAsia="Cambria Math" w:hAnsi="Cambria Math" w:cs="Cambria Math"/>
            <w:color w:val="000000"/>
          </w:rPr>
          <m:t>ħ</m:t>
        </m:r>
        <m:r>
          <w:rPr>
            <w:rFonts w:ascii="Cambria Math" w:eastAsia="Cambria Math" w:hAnsi="Cambria Math" w:cs="Cambria Math"/>
            <w:color w:val="000000"/>
          </w:rPr>
          <m:t>v</m:t>
        </m:r>
        <m:r>
          <w:rPr>
            <w:rFonts w:ascii="Cambria Math" w:eastAsia="Cambria Math" w:hAnsi="Cambria Math" w:cs="Cambria Math"/>
            <w:color w:val="000000"/>
          </w:rPr>
          <m:t>≪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B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T</m:t>
        </m:r>
      </m:oMath>
      <w:r>
        <w:rPr>
          <w:color w:val="000000"/>
        </w:rPr>
        <w:t xml:space="preserve"> fotonok nincsenek gerjesztve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</w:t>
      </w:r>
      <m:oMath>
        <m:r>
          <w:rPr>
            <w:rFonts w:ascii="Cambria Math" w:eastAsia="Cambria Math" w:hAnsi="Cambria Math" w:cs="Cambria Math"/>
            <w:color w:val="000000"/>
          </w:rPr>
          <m:t>ħ</m:t>
        </m:r>
        <m:r>
          <w:rPr>
            <w:rFonts w:ascii="Cambria Math" w:eastAsia="Cambria Math" w:hAnsi="Cambria Math" w:cs="Cambria Math"/>
            <w:color w:val="000000"/>
          </w:rPr>
          <m:t>v</m:t>
        </m:r>
        <m:r>
          <w:rPr>
            <w:rFonts w:ascii="Cambria Math" w:eastAsia="Cambria Math" w:hAnsi="Cambria Math" w:cs="Cambria Math"/>
            <w:color w:val="000000"/>
          </w:rPr>
          <m:t>≫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B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T</m:t>
        </m:r>
      </m:oMath>
      <w:r>
        <w:rPr>
          <w:color w:val="000000"/>
        </w:rPr>
        <w:t xml:space="preserve"> fotonok nincsenek</w:t>
      </w:r>
      <w:r>
        <w:rPr>
          <w:color w:val="000000"/>
        </w:rPr>
        <w:t xml:space="preserve"> gerjesztve 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Az alábbi eszköz működése a kvantummechanikai alagút-jelenségen alapul: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Flash-memória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Atomerő mikroszkóp (AFM)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Elektron-ágyú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CCD kamera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szupravezető kvantuminterferométer (SQUID)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THz lézer</w:t>
      </w:r>
      <w: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Az interferenciajelenségen alapuló mérés</w:t>
      </w:r>
      <w:r>
        <w:t>i eljárás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Röntgen-diffrakció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különbségi holográfia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elektronmikroszkóppal történő szerkezet-meghatározás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elektronmikroszkóppal történő képalkotás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neutron-szórás</w:t>
      </w:r>
      <w: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Csak a lézerfényre jellemző tulajdonság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koherens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monokromatikus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intenzív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kollimált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klasszikus fizika helyes leírást ad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rugalmatlan neutronszórásra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elektronmikroszkóppal történő képalkotásra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lastRenderedPageBreak/>
        <w:t>az elektronmikroszkóppal történő szerkezet-meghatározásra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neutron-szórással történő szerkezetmeghatározásra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fényelektro</w:t>
      </w:r>
      <w:r>
        <w:rPr>
          <w:color w:val="000000"/>
        </w:rPr>
        <w:t>mos jelenségre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szilárd testek fajhőjére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Röntgen-diffrakcióra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hőmérsékleti sugárzásra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fény-nyomásra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az indukált emisszióra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lézersugárzásra</w:t>
      </w:r>
      <w: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kvantummechanika helyes leírást ad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fényelektromos jelenségre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rugalmatlan neutronszórásra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s</w:t>
      </w:r>
      <w:r>
        <w:rPr>
          <w:color w:val="000000"/>
        </w:rPr>
        <w:t>zilárd testek fajhőjére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elektronmikroszkóppal történő képalkotásra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harmonikus oszcillátor zérus-pont rezgésének jellemző tulajdonsága, hogy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impulzus várható értéke nulla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energia sajátállapot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impulzus sajátállapot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következik a határozatlansági relációból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hullámfüggvényt egy Gauss függvény írja le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egy szinusz függvény írja le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levezethető a felcserélési reláció alkalmazásával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hely várható értéke nulla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impulzus szórása nulla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hely szórása nulla</w:t>
      </w:r>
      <w:r>
        <w:tab/>
        <w:t>H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</w:t>
      </w:r>
      <w:r>
        <w:t xml:space="preserve"> </w:t>
      </w:r>
      <m:oMath>
        <m:acc>
          <m:accPr>
            <m:ctrlPr>
              <w:rPr>
                <w:rFonts w:ascii="Cambria Math" w:eastAsia="Cambria Math" w:hAnsi="Cambria Math" w:cs="Cambria Math"/>
              </w:rPr>
            </m:ctrlPr>
          </m:accPr>
          <m:e>
            <m:r>
              <w:rPr>
                <w:rFonts w:ascii="Cambria Math" w:eastAsia="Cambria Math" w:hAnsi="Cambria Math" w:cs="Cambria Math"/>
              </w:rPr>
              <m:t>H</m:t>
            </m:r>
          </m:e>
        </m:acc>
        <m:r>
          <w:rPr>
            <w:rFonts w:ascii="Cambria Math" w:eastAsia="Cambria Math" w:hAnsi="Cambria Math" w:cs="Cambria Math"/>
          </w:rPr>
          <m:t>=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="Cambria Math" w:hAnsi="Cambria Math" w:cs="Cambria Math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</w:rPr>
                      <m:t>p</m:t>
                    </m:r>
                  </m:e>
                </m:acc>
              </m:e>
              <m:sup>
                <m:r>
                  <w:rPr>
                    <w:rFonts w:ascii="Cambria Math" w:eastAsia="Cambria Math" w:hAnsi="Cambria Math" w:cs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</w:rPr>
              <m:t>2m</m:t>
            </m:r>
          </m:den>
        </m:f>
        <m:r>
          <w:rPr>
            <w:rFonts w:ascii="Cambria Math" w:eastAsia="Cambria Math" w:hAnsi="Cambria Math" w:cs="Cambria Math"/>
          </w:rPr>
          <m:t>+</m:t>
        </m:r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r>
              <w:rPr>
                <w:rFonts w:ascii="Cambria Math" w:eastAsia="Cambria Math" w:hAnsi="Cambria Math" w:cs="Cambria Math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</w:rPr>
              <m:t>2</m:t>
            </m:r>
          </m:den>
        </m:f>
        <m:r>
          <w:rPr>
            <w:rFonts w:ascii="Cambria Math" w:eastAsia="Cambria Math" w:hAnsi="Cambria Math" w:cs="Cambria Math"/>
          </w:rPr>
          <m:t>k</m:t>
        </m:r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acc>
              <m:accPr>
                <m:ctrlPr>
                  <w:rPr>
                    <w:rFonts w:ascii="Cambria Math" w:eastAsia="Cambria Math" w:hAnsi="Cambria Math" w:cs="Cambria Math"/>
                  </w:rPr>
                </m:ctrlPr>
              </m:acc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</m:acc>
          </m:e>
          <m:sup>
            <m:r>
              <w:rPr>
                <w:rFonts w:ascii="Cambria Math" w:eastAsia="Cambria Math" w:hAnsi="Cambria Math" w:cs="Cambria Math"/>
              </w:rPr>
              <m:t>2</m:t>
            </m:r>
          </m:sup>
        </m:sSup>
      </m:oMath>
      <w:r>
        <w:t xml:space="preserve"> Hamilton-operátorral leírt harmonikus oszcillátorban a </w:t>
      </w:r>
      <m:oMath>
        <m:r>
          <w:rPr>
            <w:rFonts w:ascii="Cambria Math" w:eastAsia="Cambria Math" w:hAnsi="Cambria Math" w:cs="Cambria Math"/>
          </w:rPr>
          <m:t>k</m:t>
        </m:r>
      </m:oMath>
      <w:r>
        <w:t xml:space="preserve"> rugóállandó növelésekor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hely </w:t>
      </w:r>
      <m:oMath>
        <m:r>
          <w:rPr>
            <w:rFonts w:ascii="Cambria Math" w:eastAsia="Cambria Math" w:hAnsi="Cambria Math" w:cs="Cambria Math"/>
            <w:color w:val="000000"/>
          </w:rPr>
          <m:t>∆</m:t>
        </m:r>
        <m:r>
          <w:rPr>
            <w:rFonts w:ascii="Cambria Math" w:eastAsia="Cambria Math" w:hAnsi="Cambria Math" w:cs="Cambria Math"/>
            <w:color w:val="000000"/>
          </w:rPr>
          <m:t>x</m:t>
        </m:r>
      </m:oMath>
      <w:r>
        <w:rPr>
          <w:color w:val="000000"/>
        </w:rPr>
        <w:t xml:space="preserve"> szórása nő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zéruspont rezgés energiája csökken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hely </w:t>
      </w:r>
      <m:oMath>
        <m:r>
          <w:rPr>
            <w:rFonts w:ascii="Cambria Math" w:eastAsia="Cambria Math" w:hAnsi="Cambria Math" w:cs="Cambria Math"/>
            <w:color w:val="000000"/>
          </w:rPr>
          <m:t>∆</m:t>
        </m:r>
        <m:r>
          <w:rPr>
            <w:rFonts w:ascii="Cambria Math" w:eastAsia="Cambria Math" w:hAnsi="Cambria Math" w:cs="Cambria Math"/>
            <w:color w:val="000000"/>
          </w:rPr>
          <m:t>x</m:t>
        </m:r>
      </m:oMath>
      <w:r>
        <w:rPr>
          <w:color w:val="000000"/>
        </w:rPr>
        <w:t xml:space="preserve"> szórása csökken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zéruspont rezgés energiája nő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Az alábbi jelenségben szerepet játszik az alagúteffektus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α-bomlás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DNA spontán mutációja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fotoemisszió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szupravezetők Josephson-effektusa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Az elektronok közti Coulomb-taszításon alapuló eszköz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Kvantum-dot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Flash-memória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THz lézer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Zener</w:t>
      </w:r>
      <w:r>
        <w:rPr>
          <w:color w:val="000000"/>
        </w:rPr>
        <w:t>-dióda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termikus neutronokkal végzett (rugalmas és rugalmatlan) szóráskísérletek alkalmasak a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kristályok szerkezetének meghatározására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mágneses rendeződés kimutatására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kontrasztképzésre (izotópok alkalmazásával az atomi szórási tényezők kiátlagolására)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lastRenderedPageBreak/>
        <w:t>fel</w:t>
      </w:r>
      <w:r>
        <w:rPr>
          <w:color w:val="000000"/>
        </w:rPr>
        <w:t>ületfizikai mérésekre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 xml:space="preserve">Különbségi holográfiánál az eltérő optikai úton haladó, majd </w:t>
      </w:r>
      <m:oMath>
        <m:r>
          <w:rPr>
            <w:rFonts w:ascii="Cambria Math" w:eastAsia="Cambria Math" w:hAnsi="Cambria Math" w:cs="Cambria Math"/>
          </w:rPr>
          <m:t>∆</m:t>
        </m:r>
        <m:r>
          <w:rPr>
            <w:rFonts w:ascii="Cambria Math" w:eastAsia="Cambria Math" w:hAnsi="Cambria Math" w:cs="Cambria Math"/>
          </w:rPr>
          <m:t>Φ</m:t>
        </m:r>
      </m:oMath>
      <w:r>
        <w:t xml:space="preserve"> fáziskülönbséggel újraegyesített nyaláb interferenciájakor a fotonok megtalálási valószínűsége az </w:t>
      </w:r>
      <m:oMath>
        <m:acc>
          <m:accPr>
            <m:chr m:val="⃗"/>
            <m:ctrlPr>
              <w:rPr>
                <w:rFonts w:ascii="Cambria Math" w:eastAsia="Cambria Math" w:hAnsi="Cambria Math" w:cs="Cambria Math"/>
              </w:rPr>
            </m:ctrlPr>
          </m:accPr>
          <m:e>
            <m:r>
              <w:rPr>
                <w:rFonts w:ascii="Cambria Math" w:eastAsia="Cambria Math" w:hAnsi="Cambria Math" w:cs="Cambria Math"/>
              </w:rPr>
              <m:t>r</m:t>
            </m:r>
          </m:e>
        </m:acc>
      </m:oMath>
      <w:r>
        <w:rPr>
          <w:b/>
        </w:rPr>
        <w:t xml:space="preserve"> </w:t>
      </w:r>
      <w:r>
        <w:t xml:space="preserve">pont </w:t>
      </w:r>
      <m:oMath>
        <m:sSup>
          <m:sSupPr>
            <m:ctrlPr>
              <w:rPr>
                <w:rFonts w:ascii="Cambria Math" w:eastAsia="Cambria Math" w:hAnsi="Cambria Math" w:cs="Cambria Math"/>
              </w:rPr>
            </m:ctrlPr>
          </m:sSupPr>
          <m:e>
            <m:r>
              <w:rPr>
                <w:rFonts w:ascii="Cambria Math" w:eastAsia="Cambria Math" w:hAnsi="Cambria Math" w:cs="Cambria Math"/>
              </w:rPr>
              <m:t>d</m:t>
            </m:r>
          </m:e>
          <m:sup>
            <m:r>
              <w:rPr>
                <w:rFonts w:ascii="Cambria Math" w:eastAsia="Cambria Math" w:hAnsi="Cambria Math" w:cs="Cambria Math"/>
              </w:rPr>
              <m:t>3</m:t>
            </m:r>
          </m:sup>
        </m:sSup>
        <m:acc>
          <m:accPr>
            <m:chr m:val="⃗"/>
            <m:ctrlPr>
              <w:rPr>
                <w:rFonts w:ascii="Cambria Math" w:eastAsia="Cambria Math" w:hAnsi="Cambria Math" w:cs="Cambria Math"/>
              </w:rPr>
            </m:ctrlPr>
          </m:accPr>
          <m:e>
            <m:r>
              <w:rPr>
                <w:rFonts w:ascii="Cambria Math" w:eastAsia="Cambria Math" w:hAnsi="Cambria Math" w:cs="Cambria Math"/>
              </w:rPr>
              <m:t>r</m:t>
            </m:r>
          </m:e>
        </m:acc>
      </m:oMath>
      <w:r>
        <w:t xml:space="preserve"> környezetében: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94896" cy="359114"/>
            <wp:effectExtent l="0" t="0" r="0" 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896" cy="359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04145" cy="366115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145" cy="366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513420" cy="218923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420" cy="2189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1599" cy="267160"/>
            <wp:effectExtent l="0" t="0" r="0" b="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599" cy="26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Laue szórási kísérletben a Bragg-csúcsok helyzetéből meghatározható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kristály térbeli orientációja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kristály rácsszerkezete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bázis szerkezete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reciprok rács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harmonikus oszcillátor ε</w:t>
      </w:r>
      <w:r>
        <w:rPr>
          <w:vertAlign w:val="subscript"/>
        </w:rPr>
        <w:t xml:space="preserve">n </w:t>
      </w:r>
      <w:r>
        <w:t xml:space="preserve"> n-edik nívóján energia-sajátállapotban a hely várható értéke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nulla, de csak akkor, ha </w:t>
      </w:r>
      <m:oMath>
        <m:r>
          <w:rPr>
            <w:rFonts w:ascii="Cambria Math" w:eastAsia="Cambria Math" w:hAnsi="Cambria Math" w:cs="Cambria Math"/>
            <w:color w:val="000000"/>
          </w:rPr>
          <m:t>n</m:t>
        </m:r>
      </m:oMath>
      <w:r>
        <w:rPr>
          <w:color w:val="000000"/>
        </w:rPr>
        <w:t xml:space="preserve"> páros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nulla, de csak akkor, ha </w:t>
      </w:r>
      <m:oMath>
        <m:r>
          <w:rPr>
            <w:rFonts w:ascii="Cambria Math" w:eastAsia="Cambria Math" w:hAnsi="Cambria Math" w:cs="Cambria Math"/>
            <w:color w:val="000000"/>
          </w:rPr>
          <m:t>n</m:t>
        </m:r>
      </m:oMath>
      <w:r>
        <w:rPr>
          <w:color w:val="000000"/>
        </w:rPr>
        <w:t xml:space="preserve"> páratlan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sosem nulla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mindig nulla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Egy köbös rács rendelkezik a … forgási szimmetriával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2-fogású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3-fogású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5-fogású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6-fo</w:t>
      </w:r>
      <w:r>
        <w:rPr>
          <w:color w:val="000000"/>
        </w:rPr>
        <w:t>gású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 xml:space="preserve">A fononokhoz rendelt </w:t>
      </w:r>
      <m:oMath>
        <m:r>
          <w:rPr>
            <w:rFonts w:ascii="Cambria Math" w:eastAsia="Cambria Math" w:hAnsi="Cambria Math" w:cs="Cambria Math"/>
          </w:rPr>
          <m:t>ħ</m:t>
        </m:r>
        <m:bar>
          <m:barPr>
            <m:ctrlPr>
              <w:rPr>
                <w:rFonts w:ascii="Cambria Math" w:eastAsia="Cambria Math" w:hAnsi="Cambria Math" w:cs="Cambria Math"/>
              </w:rPr>
            </m:ctrlPr>
          </m:barPr>
          <m:e>
            <m:r>
              <w:rPr>
                <w:rFonts w:ascii="Cambria Math" w:eastAsia="Cambria Math" w:hAnsi="Cambria Math" w:cs="Cambria Math"/>
              </w:rPr>
              <m:t>q</m:t>
            </m:r>
          </m:e>
        </m:bar>
        <m:r>
          <w:rPr>
            <w:rFonts w:ascii="Cambria Math" w:eastAsia="Cambria Math" w:hAnsi="Cambria Math" w:cs="Cambria Math"/>
          </w:rPr>
          <m:t>+ħ</m:t>
        </m:r>
        <m:acc>
          <m:accPr>
            <m:chr m:val="⃗"/>
            <m:ctrlPr>
              <w:rPr>
                <w:rFonts w:ascii="Cambria Math" w:eastAsia="Cambria Math" w:hAnsi="Cambria Math" w:cs="Cambria Math"/>
              </w:rPr>
            </m:ctrlPr>
          </m:accPr>
          <m:e>
            <m:r>
              <w:rPr>
                <w:rFonts w:ascii="Cambria Math" w:eastAsia="Cambria Math" w:hAnsi="Cambria Math" w:cs="Cambria Math"/>
              </w:rPr>
              <m:t>G</m:t>
            </m:r>
          </m:e>
        </m:acc>
      </m:oMath>
      <w:r>
        <w:rPr>
          <w:b/>
        </w:rPr>
        <w:t xml:space="preserve"> </w:t>
      </w:r>
      <w:r>
        <w:t>kvázi-impulzusban a</w:t>
      </w:r>
      <w:r>
        <w:rPr>
          <w:b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 w:cs="Cambria Math"/>
              </w:rPr>
            </m:ctrlPr>
          </m:accPr>
          <m:e>
            <m:r>
              <w:rPr>
                <w:rFonts w:ascii="Cambria Math" w:eastAsia="Cambria Math" w:hAnsi="Cambria Math" w:cs="Cambria Math"/>
              </w:rPr>
              <m:t>G</m:t>
            </m:r>
          </m:e>
        </m:acc>
      </m:oMath>
      <w:r>
        <w:rPr>
          <w:b/>
        </w:rPr>
        <w:t xml:space="preserve"> </w:t>
      </w:r>
      <w:r>
        <w:t>reciprok-rácsvektort tartalmazó tag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diszkrét transzlációs szimmetria következménye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azt tükrözi, hogy a </w:t>
      </w:r>
      <m:oMath>
        <m:acc>
          <m:accPr>
            <m:chr m:val="⃗"/>
            <m:ctrlPr>
              <w:rPr>
                <w:rFonts w:ascii="Cambria Math" w:eastAsia="Cambria Math" w:hAnsi="Cambria Math" w:cs="Cambria Math"/>
                <w:color w:val="000000"/>
              </w:rPr>
            </m:ctrlPr>
          </m:accPr>
          <m:e>
            <m:r>
              <w:rPr>
                <w:rFonts w:ascii="Cambria Math" w:eastAsia="Cambria Math" w:hAnsi="Cambria Math" w:cs="Cambria Math"/>
                <w:color w:val="000000"/>
              </w:rPr>
              <m:t>q</m:t>
            </m:r>
          </m:e>
        </m:acc>
      </m:oMath>
      <w:r>
        <w:rPr>
          <w:b/>
          <w:color w:val="000000"/>
        </w:rPr>
        <w:t xml:space="preserve"> </w:t>
      </w:r>
      <w:r>
        <w:rPr>
          <w:color w:val="000000"/>
        </w:rPr>
        <w:t xml:space="preserve">és a  </w:t>
      </w:r>
      <m:oMath>
        <m:acc>
          <m:accPr>
            <m:chr m:val="⃗"/>
            <m:ctrlPr>
              <w:rPr>
                <w:rFonts w:ascii="Cambria Math" w:eastAsia="Cambria Math" w:hAnsi="Cambria Math" w:cs="Cambria Math"/>
                <w:color w:val="000000"/>
              </w:rPr>
            </m:ctrlPr>
          </m:accPr>
          <m:e>
            <m:r>
              <w:rPr>
                <w:rFonts w:ascii="Cambria Math" w:eastAsia="Cambria Math" w:hAnsi="Cambria Math" w:cs="Cambria Math"/>
                <w:color w:val="000000"/>
              </w:rPr>
              <m:t>q</m:t>
            </m:r>
          </m:e>
        </m:acc>
        <m:r>
          <w:rPr>
            <w:rFonts w:ascii="Cambria Math" w:eastAsia="Cambria Math" w:hAnsi="Cambria Math" w:cs="Cambria Math"/>
            <w:color w:val="000000"/>
          </w:rPr>
          <m:t>+</m:t>
        </m:r>
        <m:acc>
          <m:accPr>
            <m:chr m:val="⃗"/>
            <m:ctrlPr>
              <w:rPr>
                <w:rFonts w:ascii="Cambria Math" w:eastAsia="Cambria Math" w:hAnsi="Cambria Math" w:cs="Cambria Math"/>
                <w:color w:val="000000"/>
              </w:rPr>
            </m:ctrlPr>
          </m:accPr>
          <m:e>
            <m:r>
              <w:rPr>
                <w:rFonts w:ascii="Cambria Math" w:eastAsia="Cambria Math" w:hAnsi="Cambria Math" w:cs="Cambria Math"/>
                <w:color w:val="000000"/>
              </w:rPr>
              <m:t>G</m:t>
            </m:r>
          </m:e>
        </m:acc>
      </m:oMath>
      <w:r>
        <w:rPr>
          <w:b/>
          <w:color w:val="000000"/>
        </w:rPr>
        <w:t xml:space="preserve"> </w:t>
      </w:r>
      <w:r>
        <w:rPr>
          <w:color w:val="000000"/>
        </w:rPr>
        <w:t>hullámszámú rezgés azonos atomi elmozdulásokat ír le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határozatlansági relációból származó bizonytalanságot tükrözi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360"/>
        <w:rPr>
          <w:color w:val="000000"/>
        </w:rPr>
      </w:pPr>
      <w:r>
        <w:rPr>
          <w:color w:val="000000"/>
        </w:rPr>
        <w:t>a zéruspont rezgéshez tartozó impulzust reprezentálja</w:t>
      </w:r>
      <w:r>
        <w:rPr>
          <w:color w:val="000000"/>
        </w:rPr>
        <w:tab/>
        <w:t>H</w:t>
      </w:r>
    </w:p>
    <w:p w:rsidR="00E231B6" w:rsidRDefault="00E231B6">
      <w:pPr>
        <w:tabs>
          <w:tab w:val="left" w:pos="7371"/>
        </w:tabs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fizikai mennyiségeket leíró polár- és az axiál-vektorok csatolódásának feltétele a(z)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inverziós szimmetria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síkra tükrözési szimmetria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inverziós szimmetria hiánya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síkra tükrözési szimmetria hiánya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köbös szimmetria/hiánya</w:t>
      </w:r>
      <w:r>
        <w:tab/>
        <w:t>H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 xml:space="preserve">A rácsrezgések </w:t>
      </w:r>
      <m:oMath>
        <m:r>
          <m:t>ω</m:t>
        </m:r>
        <m:r>
          <w:rPr>
            <w:rFonts w:ascii="Cambria Math" w:eastAsia="Cambria Math" w:hAnsi="Cambria Math" w:cs="Cambria Math"/>
          </w:rPr>
          <m:t>(</m:t>
        </m:r>
        <m:r>
          <w:rPr>
            <w:rFonts w:ascii="Cambria Math" w:eastAsia="Cambria Math" w:hAnsi="Cambria Math" w:cs="Cambria Math"/>
          </w:rPr>
          <m:t>q</m:t>
        </m:r>
        <m:r>
          <w:rPr>
            <w:rFonts w:ascii="Cambria Math" w:eastAsia="Cambria Math" w:hAnsi="Cambria Math" w:cs="Cambria Math"/>
          </w:rPr>
          <m:t>)</m:t>
        </m:r>
      </m:oMath>
      <w:r>
        <w:t xml:space="preserve"> diszperziós relációjának optikai ágában a </w:t>
      </w:r>
      <m:oMath>
        <m:r>
          <w:rPr>
            <w:rFonts w:ascii="Cambria Math" w:eastAsia="Cambria Math" w:hAnsi="Cambria Math" w:cs="Cambria Math"/>
          </w:rPr>
          <m:t>q</m:t>
        </m:r>
        <m:r>
          <w:rPr>
            <w:rFonts w:ascii="Cambria Math" w:eastAsia="Cambria Math" w:hAnsi="Cambria Math" w:cs="Cambria Math"/>
          </w:rPr>
          <m:t>=0</m:t>
        </m:r>
      </m:oMath>
      <w:r>
        <w:t xml:space="preserve"> hullámszámú rezgés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minden rácsponton azonos fázisban történik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frekvenciája kisebb, mint az akkusztikus hullám frekvenciája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bázist alkotó atomok tömegközéppontjának rezgése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bázist alkotó atomok egymáshoz képesti rezgése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lastRenderedPageBreak/>
        <w:t xml:space="preserve">Az </w:t>
      </w:r>
      <m:oMath>
        <m:acc>
          <m:accPr>
            <m:ctrlPr>
              <w:rPr>
                <w:rFonts w:ascii="Cambria Math" w:eastAsia="Cambria Math" w:hAnsi="Cambria Math" w:cs="Cambria Math"/>
              </w:rPr>
            </m:ctrlPr>
          </m:accPr>
          <m:e>
            <m:r>
              <w:rPr>
                <w:rFonts w:ascii="Cambria Math" w:eastAsia="Cambria Math" w:hAnsi="Cambria Math" w:cs="Cambria Math"/>
              </w:rPr>
              <m:t>A</m:t>
            </m:r>
          </m:e>
        </m:acc>
      </m:oMath>
      <w:r>
        <w:t xml:space="preserve"> operátorral felírt fizikai mennyiség szórása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m:oMath>
        <m:r>
          <w:rPr>
            <w:rFonts w:ascii="Cambria Math" w:eastAsia="Cambria Math" w:hAnsi="Cambria Math" w:cs="Cambria Math"/>
            <w:color w:val="000000"/>
          </w:rPr>
          <m:t>∆</m:t>
        </m:r>
        <m:r>
          <w:rPr>
            <w:rFonts w:ascii="Cambria Math" w:eastAsia="Cambria Math" w:hAnsi="Cambria Math" w:cs="Cambria Math"/>
            <w:color w:val="000000"/>
          </w:rPr>
          <m:t>A</m:t>
        </m:r>
        <m:r>
          <w:rPr>
            <w:rFonts w:ascii="Cambria Math" w:eastAsia="Cambria Math" w:hAnsi="Cambria Math" w:cs="Cambria Math"/>
            <w:color w:val="000000"/>
          </w:rPr>
          <m:t>=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</w:rPr>
            </m:ctrlPr>
          </m:radPr>
          <m:deg/>
          <m:e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color w:val="000000"/>
                      </w:rPr>
                    </m:ctrlPr>
                  </m:dPr>
                  <m:e>
                    <m:r>
                      <w:rPr>
                        <w:color w:val="000000"/>
                      </w:rPr>
                      <m:t>〈</m:t>
                    </m:r>
                    <m:acc>
                      <m:acc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-</m:t>
                    </m:r>
                    <m:r>
                      <w:rPr>
                        <w:color w:val="000000"/>
                      </w:rPr>
                      <m:t>〈</m:t>
                    </m:r>
                    <m:acc>
                      <m:acc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A</m:t>
                        </m:r>
                      </m:e>
                    </m:acc>
                    <m:r>
                      <w:rPr>
                        <w:color w:val="000000"/>
                      </w:rPr>
                      <m:t>〉〉</m:t>
                    </m:r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</m:sup>
            </m:sSup>
          </m:e>
        </m:rad>
      </m:oMath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m:oMath>
        <m:r>
          <w:rPr>
            <w:rFonts w:ascii="Cambria Math" w:eastAsia="Cambria Math" w:hAnsi="Cambria Math" w:cs="Cambria Math"/>
            <w:color w:val="000000"/>
          </w:rPr>
          <m:t>∆</m:t>
        </m:r>
        <m:r>
          <w:rPr>
            <w:rFonts w:ascii="Cambria Math" w:eastAsia="Cambria Math" w:hAnsi="Cambria Math" w:cs="Cambria Math"/>
            <w:color w:val="000000"/>
          </w:rPr>
          <m:t>A</m:t>
        </m:r>
        <m:r>
          <w:rPr>
            <w:rFonts w:ascii="Cambria Math" w:eastAsia="Cambria Math" w:hAnsi="Cambria Math" w:cs="Cambria Math"/>
            <w:color w:val="000000"/>
          </w:rPr>
          <m:t>=</m:t>
        </m:r>
        <m:rad>
          <m:radPr>
            <m:degHide m:val="on"/>
            <m:ctrlPr>
              <w:rPr>
                <w:color w:val="000000"/>
              </w:rPr>
            </m:ctrlPr>
          </m:radPr>
          <m:deg/>
          <m:e>
            <m:r>
              <w:rPr>
                <w:color w:val="000000"/>
              </w:rPr>
              <m:t>〈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color w:val="000000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-</m:t>
                    </m:r>
                    <m:r>
                      <w:rPr>
                        <w:color w:val="000000"/>
                      </w:rPr>
                      <m:t>〈</m:t>
                    </m:r>
                    <m:acc>
                      <m:accPr>
                        <m:ctrlP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  <w:color w:val="000000"/>
                          </w:rPr>
                          <m:t>A</m:t>
                        </m:r>
                      </m:e>
                    </m:acc>
                    <m:r>
                      <w:rPr>
                        <w:color w:val="000000"/>
                      </w:rPr>
                      <m:t>〉</m:t>
                    </m:r>
                  </m:e>
                </m:d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</m:sup>
            </m:sSup>
            <m:r>
              <w:rPr>
                <w:color w:val="000000"/>
              </w:rPr>
              <m:t>〉</m:t>
            </m:r>
          </m:e>
        </m:rad>
      </m:oMath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m:oMath>
        <m:r>
          <w:rPr>
            <w:rFonts w:ascii="Cambria Math" w:eastAsia="Cambria Math" w:hAnsi="Cambria Math" w:cs="Cambria Math"/>
            <w:color w:val="000000"/>
          </w:rPr>
          <m:t>∆</m:t>
        </m:r>
        <m:r>
          <w:rPr>
            <w:rFonts w:ascii="Cambria Math" w:eastAsia="Cambria Math" w:hAnsi="Cambria Math" w:cs="Cambria Math"/>
            <w:color w:val="000000"/>
          </w:rPr>
          <m:t>A</m:t>
        </m:r>
        <m:r>
          <w:rPr>
            <w:rFonts w:ascii="Cambria Math" w:eastAsia="Cambria Math" w:hAnsi="Cambria Math" w:cs="Cambria Math"/>
            <w:color w:val="000000"/>
          </w:rPr>
          <m:t>=</m:t>
        </m:r>
        <m:rad>
          <m:radPr>
            <m:degHide m:val="on"/>
            <m:ctrlPr>
              <w:rPr>
                <w:rFonts w:ascii="Cambria Math" w:eastAsia="Cambria Math" w:hAnsi="Cambria Math" w:cs="Cambria Math"/>
                <w:color w:val="000000"/>
              </w:rPr>
            </m:ctrlPr>
          </m:radPr>
          <m:deg/>
          <m:e>
            <m:r>
              <w:rPr>
                <w:color w:val="000000"/>
              </w:rPr>
              <m:t>〈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="Cambria Math" w:hAnsi="Cambria Math" w:cs="Cambria Math"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</m:sup>
            </m:sSup>
            <m:r>
              <w:rPr>
                <w:color w:val="000000"/>
              </w:rPr>
              <m:t>〉</m:t>
            </m:r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pPr>
              <m:e>
                <m:r>
                  <w:rPr>
                    <w:color w:val="000000"/>
                  </w:rPr>
                  <m:t>〈</m:t>
                </m:r>
                <m:acc>
                  <m:accPr>
                    <m:ctrlPr>
                      <w:rPr>
                        <w:rFonts w:ascii="Cambria Math" w:eastAsia="Cambria Math" w:hAnsi="Cambria Math" w:cs="Cambria Math"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A</m:t>
                    </m:r>
                  </m:e>
                </m:acc>
                <m:r>
                  <w:rPr>
                    <w:color w:val="000000"/>
                  </w:rPr>
                  <m:t>〉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</m:sup>
            </m:sSup>
          </m:e>
        </m:rad>
      </m:oMath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360"/>
      </w:pPr>
      <m:oMath>
        <m:r>
          <w:rPr>
            <w:rFonts w:ascii="Cambria Math" w:eastAsia="Cambria Math" w:hAnsi="Cambria Math" w:cs="Cambria Math"/>
            <w:color w:val="000000"/>
          </w:rPr>
          <m:t>∆</m:t>
        </m:r>
        <m:r>
          <w:rPr>
            <w:rFonts w:ascii="Cambria Math" w:eastAsia="Cambria Math" w:hAnsi="Cambria Math" w:cs="Cambria Math"/>
            <w:color w:val="000000"/>
          </w:rPr>
          <m:t>A</m:t>
        </m:r>
        <m:r>
          <w:rPr>
            <w:rFonts w:ascii="Cambria Math" w:eastAsia="Cambria Math" w:hAnsi="Cambria Math" w:cs="Cambria Math"/>
            <w:color w:val="000000"/>
          </w:rPr>
          <m:t>=</m:t>
        </m:r>
        <m:rad>
          <m:radPr>
            <m:degHide m:val="on"/>
            <m:ctrlPr>
              <w:rPr>
                <w:color w:val="000000"/>
              </w:rPr>
            </m:ctrlPr>
          </m:radPr>
          <m:deg/>
          <m:e>
            <m:r>
              <w:rPr>
                <w:color w:val="000000"/>
              </w:rPr>
              <m:t>〈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="Cambria Math" w:hAnsi="Cambria Math" w:cs="Cambria Math"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</m:sup>
            </m:sSup>
            <m:r>
              <w:rPr>
                <w:rFonts w:ascii="Cambria Math" w:eastAsia="Cambria Math" w:hAnsi="Cambria Math" w:cs="Cambria Math"/>
                <w:color w:val="000000"/>
              </w:rPr>
              <m:t>-</m:t>
            </m:r>
            <m:r>
              <w:rPr>
                <w:color w:val="000000"/>
              </w:rPr>
              <m:t>〈</m:t>
            </m:r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pPr>
              <m:e>
                <m:acc>
                  <m:accPr>
                    <m:ctrlPr>
                      <w:rPr>
                        <w:rFonts w:ascii="Cambria Math" w:eastAsia="Cambria Math" w:hAnsi="Cambria Math" w:cs="Cambria Math"/>
                        <w:color w:val="00000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Cambria Math"/>
                        <w:color w:val="000000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</m:sup>
            </m:sSup>
            <m:r>
              <w:rPr>
                <w:color w:val="000000"/>
              </w:rPr>
              <m:t>〉〉</m:t>
            </m:r>
          </m:e>
        </m:rad>
      </m:oMath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360"/>
      </w:pPr>
      <w:r>
        <w:t>sajátállapotban nulla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360"/>
      </w:pPr>
      <w:r>
        <w:t>nem függ a hullámfüggvény alakjától</w:t>
      </w:r>
      <w: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szilárd testek fajhője alacsony hőmérsékleten nullához tart, mert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</w:t>
      </w:r>
      <m:oMath>
        <m:r>
          <w:rPr>
            <w:rFonts w:ascii="Cambria Math" w:eastAsia="Cambria Math" w:hAnsi="Cambria Math" w:cs="Cambria Math"/>
            <w:color w:val="000000"/>
          </w:rPr>
          <m:t>ħ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ω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q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≫</m:t>
        </m:r>
        <m:sSub>
          <m:sSubPr>
            <m:ctrlPr>
              <w:rPr>
                <w:rFonts w:ascii="Cambria Math" w:eastAsia="Cambria Math" w:hAnsi="Cambria Math" w:cs="Cambria Math"/>
                <w:color w:val="000000"/>
              </w:rPr>
            </m:ctrlPr>
          </m:sSubPr>
          <m:e>
            <m:r>
              <w:rPr>
                <w:rFonts w:ascii="Cambria Math" w:eastAsia="Cambria Math" w:hAnsi="Cambria Math" w:cs="Cambria Math"/>
                <w:color w:val="000000"/>
              </w:rPr>
              <m:t>k</m:t>
            </m:r>
          </m:e>
          <m:sub>
            <m:r>
              <w:rPr>
                <w:rFonts w:ascii="Cambria Math" w:eastAsia="Cambria Math" w:hAnsi="Cambria Math" w:cs="Cambria Math"/>
                <w:color w:val="000000"/>
              </w:rPr>
              <m:t>B</m:t>
            </m:r>
          </m:sub>
        </m:sSub>
        <m:r>
          <w:rPr>
            <w:rFonts w:ascii="Cambria Math" w:eastAsia="Cambria Math" w:hAnsi="Cambria Math" w:cs="Cambria Math"/>
            <w:color w:val="000000"/>
          </w:rPr>
          <m:t>T</m:t>
        </m:r>
      </m:oMath>
      <w:r>
        <w:rPr>
          <w:color w:val="000000"/>
        </w:rPr>
        <w:t xml:space="preserve"> rezgési modusok nincsenek gerjesztve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hőmérséklet csökkentésével a szabadsági fokok száma csökken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optikai fonon-ág nincs gerjesztve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atomok csatolt rezgése független oszcillátorokra esik szét</w:t>
      </w:r>
    </w:p>
    <w:p w:rsidR="00E231B6" w:rsidRDefault="00B62BD9">
      <w:pPr>
        <w:pStyle w:val="Cmsor3"/>
        <w:numPr>
          <w:ilvl w:val="0"/>
          <w:numId w:val="13"/>
        </w:numPr>
        <w:spacing w:before="0"/>
      </w:pPr>
      <w:r>
        <w:t>Egy gázlézerben a lézersugárzás kialakulásának feltétele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populáció inverzió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spontán emisszió</w:t>
      </w:r>
      <w:r>
        <w:rPr>
          <w:color w:val="000000"/>
        </w:rPr>
        <w:tab/>
      </w:r>
      <w:r>
        <w:rPr>
          <w:color w:val="000000"/>
        </w:rPr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hőmérsékleti sugárzás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rezonátor tükör</w:t>
      </w:r>
      <w:r>
        <w:rPr>
          <w:color w:val="000000"/>
        </w:rPr>
        <w:tab/>
        <w:t>I?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indukált emisszió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optikai erősítés</w:t>
      </w:r>
      <w:r>
        <w:tab/>
        <w:t>I</w:t>
      </w:r>
    </w:p>
    <w:p w:rsidR="00E231B6" w:rsidRDefault="00E231B6">
      <w:pPr>
        <w:pStyle w:val="Cmsor2"/>
        <w:tabs>
          <w:tab w:val="left" w:pos="1843"/>
          <w:tab w:val="left" w:pos="7371"/>
        </w:tabs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szabad elektronrendszert leíró Sommerfeld-modellben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elektronokat impulzusuk szerint különböztetjük meg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elektronokat helyük szerint különböztetjük meg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elektronállapotok betöltése Bose-Einstein statisztikát követ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elektronállapotok betöltése Fermi-Dirac statisztikát követ 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Fémekben a kis energiával gerjeszthető elektronok száma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hőmérséklettel arányos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hőmérséklet négyzetével arányos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h</w:t>
      </w:r>
      <w:r>
        <w:rPr>
          <w:color w:val="000000"/>
        </w:rPr>
        <w:t xml:space="preserve">őmérséklettel fordítva arányos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nem függ a hőmérséklettől 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Fermi-energia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kémiai potenciál értéke T=0 hőmérsékleten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vezetési sáv teteje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elektronok átlagos energiája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alapállapotban a legmagasabb energiájú betöltött elektronállapothoz</w:t>
      </w:r>
      <w:r>
        <w:rPr>
          <w:color w:val="000000"/>
        </w:rPr>
        <w:t xml:space="preserve"> tartozó energia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kilépési munka értéke</w:t>
      </w:r>
      <w: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fémekre vezetési elektronjainak mágneses szuszceptibilitása (a Pauli szuszceptibilitás)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elektronok köráramához tartozó mágneses momentumtól származik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elektronok spinjétől származik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diamágneses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paramágneses 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bookmarkStart w:id="1" w:name="_heading=h.a2ls8iqwpf06" w:colFirst="0" w:colLast="0"/>
      <w:bookmarkEnd w:id="1"/>
      <w:r>
        <w:t>A vezetési elektronok mágneses szuszceptibilitása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hőmérséklet négyzetével változik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lastRenderedPageBreak/>
        <w:t>arányos a hőmérséklettel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hőmérséklet-független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fordítva arányos a hőmérséklettel</w:t>
      </w:r>
      <w: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Egy intrinsic félvezetőben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elektronok száma megegyezik a lyukak</w:t>
      </w:r>
      <w:r>
        <w:rPr>
          <w:color w:val="000000"/>
        </w:rPr>
        <w:t xml:space="preserve"> számával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Fermi-felület k</w:t>
      </w:r>
      <w:r>
        <w:rPr>
          <w:color w:val="000000"/>
          <w:vertAlign w:val="subscript"/>
        </w:rPr>
        <w:t>B</w:t>
      </w:r>
      <w:r>
        <w:rPr>
          <w:color w:val="000000"/>
        </w:rPr>
        <w:t xml:space="preserve">T szélességű tartományban lévő elektronok gerjeszthetők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csak az elektronok vezetnek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csak a lyukak vezetnek 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fémekben a Fermi-energia nagyságrendje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μeV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meV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eV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keV 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szoros kötésű közelítésben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sávszélesség függ az atomok távolságától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diszperziós reláció kvadratikus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hullámfüggvényt síkhullámok lineáris kombinációjával állítjuk elő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hullámfüggvényt atomi hullámfüggvények lineáris kombinációjával állítjuk elő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tiltott sáv értékét</w:t>
      </w:r>
      <w:r>
        <w:rPr>
          <w:color w:val="000000"/>
        </w:rPr>
        <w:t xml:space="preserve"> az atomi nívók távolsága és az átfedési integrálok határozzák meg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hullámfüggvény atomra lokalizált hullámfüggvények összege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az elektron síkhullámmal van közelítve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az elektron atomra van lokalizálva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az elektron minden atomon egyforma valószínűségg</w:t>
      </w:r>
      <w:r>
        <w:t>el található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az effektív tömeg megegyezik a szabad elektron tömegével</w:t>
      </w:r>
      <w: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bookmarkStart w:id="2" w:name="_heading=h.qijug0x7dtjd" w:colFirst="0" w:colLast="0"/>
      <w:bookmarkEnd w:id="2"/>
      <w:r>
        <w:t>A szoros kötésű közelítésben az átfedési integrál függ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atomi hullámfüggvények térbeli alakjától (pl. s- vagy p-típusú elektron)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atomi hullámfüggvények szimmetriatulajdonságát</w:t>
      </w:r>
      <w:r>
        <w:t xml:space="preserve">ól 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elektronok spinjétől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kristályszerkezettől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atomi energiaszintek távolságától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atomok távolságától</w:t>
      </w:r>
      <w: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Egy p-típusú félvezető kiürülési tartományában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lyuk típusú töltéshordozók száma megegyezik az akceptor atomok számával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lyukak száma megegyezik az elektronok számával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ellenállás gyengén hőmérsékletfüggő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ellenállás exponenciálisan függ a hőmérséklettől 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Bloch-tételnek megfelelő hullámfüggvény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egy rácsvektorral történő eltolás esetén csak egy fázisfaktorral </w:t>
      </w:r>
      <w:r>
        <w:rPr>
          <w:color w:val="000000"/>
        </w:rPr>
        <w:t xml:space="preserve">változik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periodikus (egy rácsvektorral történő eltolás esetén nem változik)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abszolút-értéke periodikus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abszolút-értékének négyzete periodikus 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Egy ballisztikus vezetőben/transzport során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ellenállást nem függ a vezeték hosszától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rugalmatlan ütközések révén kialakul a termikus egyensúly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nincs kölcsönhatás a vezeték anyaga és az elektronok között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elektronok rugalmas ütközésekkel hatnak kölcsön a vezeték anyagával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rugalmatlan szórások révén kialakul a termikus egyensú</w:t>
      </w:r>
      <w:r>
        <w:t>ly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lastRenderedPageBreak/>
        <w:t>az elektronok terjedése fáziskoherens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Joule-hő nem a mintában fejlődik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transzmisszió T&lt;1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fajlagos vezetőképességet a geometria határozza meg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vezetőképességet rugalmas szórások határozzák meg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vezetőképesség nem függ a diszperziós reláció alakjától</w:t>
      </w:r>
      <w: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Egy mezoszkopikus vezetőben/transzport során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fáziskoherens transzport valósul meg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fajlagos ellenállást a rugalmas ütközések határozzák meg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elektronok rugalmas ütközésekkel hatnak kölcsö</w:t>
      </w:r>
      <w:r>
        <w:rPr>
          <w:color w:val="000000"/>
        </w:rPr>
        <w:t xml:space="preserve">n a vezeték anyagával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ellenállás arányos a vezeték hosszával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az ellenállás nem függ a vezeték hosszától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nincs energiacserével járó kölcsönhatás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nincs impulzuscserével járó kölcsönhatás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vezeték anyagával nincs kölcsönhatás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nem alakul ki t</w:t>
      </w:r>
      <w:r>
        <w:t>ermikus egyensúly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sz w:val="14"/>
          <w:szCs w:val="14"/>
        </w:rPr>
        <w:t xml:space="preserve"> </w:t>
      </w:r>
      <w:r>
        <w:t>a termikus egyensúly a rugalmas szórások révén jön létre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termikus egyensúly a rugalmatlan szórások révén jön létre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az ellenállást csak a minta geometriája határozza meg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Joule-hő nem a mintában fejlődik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transzmisszió T=1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csak rugalmas szórások vannak</w:t>
      </w:r>
      <w: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makroszkopikus transzport során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termikus egyensúly alakul ki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csak rugalmas ütközések történnek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mindenképp történnek rugalmatlan ütközések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elektronok terjedése inkoherens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Joule-hő fejlődik a mintában</w:t>
      </w:r>
      <w: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III-V (pl. GaAs) típusú félvezetők jellemzője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direkt tiltott sáv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indirekt tiltott sáv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kovalens és az ionos kötéstípus keveredése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az inverziós szimmetria hiánya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tisztán kovalens kötéstípus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tisztán ionos kötéstípus </w:t>
      </w:r>
      <w:r>
        <w:rPr>
          <w:color w:val="000000"/>
        </w:rPr>
        <w:tab/>
        <w:t>H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rPr>
          <w:color w:val="1F3863"/>
        </w:rPr>
      </w:pPr>
      <w:bookmarkStart w:id="3" w:name="_heading=h.fgr3ghesz01r" w:colFirst="0" w:colLast="0"/>
      <w:bookmarkEnd w:id="3"/>
      <w:r>
        <w:t>A III-V (pl. GaAs) típusú félvezetőkben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tetraéderes lokális szimmetria van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direkt tiltott sáv van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indirekt tiltott sáv van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bookmarkStart w:id="4" w:name="_heading=h.30j0zll" w:colFirst="0" w:colLast="0"/>
      <w:bookmarkEnd w:id="4"/>
      <w:r>
        <w:t>nincs inverziós szimmetria</w:t>
      </w:r>
      <w: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HDD olvasófejben a két mágneses domén közül csak a merevlemezhez közelebbi domén billeg, mert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a </w:t>
      </w:r>
      <w:r>
        <w:rPr>
          <w:color w:val="000000"/>
        </w:rPr>
        <w:t xml:space="preserve">másik domén mérete nagyobb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a másik domén egy antiferromágnesre van növesztve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a másik domén távolabb van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360"/>
      </w:pPr>
      <w:r>
        <w:rPr>
          <w:color w:val="000000"/>
        </w:rPr>
        <w:lastRenderedPageBreak/>
        <w:t xml:space="preserve">a másik domén hiszterézise nagyobb 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Az adaptív Cruise Control működési elve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mikrohullám visszaverődésének detektálása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ultrahang visszaverődésének detektálása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time-of-flight (TOF)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360"/>
      </w:pPr>
      <w:r>
        <w:rPr>
          <w:color w:val="000000"/>
        </w:rPr>
        <w:t xml:space="preserve">Doppler-effektus 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kvantum-pötty nívószerkezet függ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az alagútáram értékétől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az elektronok töltésétől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a pötty kapacitásától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a Fermi-energiától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pöttyön keresztülfolyó áramtól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az alagút gátak magasságától</w:t>
      </w:r>
      <w:r>
        <w:tab/>
        <w:t>H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vas ferromágnesessége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a vezetési elektronoktól származik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vezetési elektronok spinjétől származik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a vas atomok 3d elektronjainak spinjétől származik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spin-függő sávok eltolódásától származik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a vas atomok 3d elektronjainak pályamomentumától származik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vas atomokhoz tartozó elemi dipólmomentumoktól</w:t>
      </w:r>
      <w:r>
        <w:tab/>
        <w:t>H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rPr>
          <w:color w:val="1F3863"/>
        </w:rPr>
      </w:pPr>
      <w:bookmarkStart w:id="5" w:name="_heading=h.x726bm2ibjp0" w:colFirst="0" w:colLast="0"/>
      <w:bookmarkEnd w:id="5"/>
      <w:r>
        <w:t>A vas ferromágneses fázisban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vezetési elektronok spin-polarizáltak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egy atomra jutó telítési mágnesezettség kisebb, mint a különálló vas</w:t>
      </w:r>
      <w:r>
        <w:t xml:space="preserve"> atomokra jutó mágnesezettség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ferromágnesesség eredete a vas atomok 3d nívójához tartozó pályamomentum</w:t>
      </w:r>
      <w:r>
        <w:tab/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d-sávok betöltöttsége függ a spin-állapottól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ferromágnesesség eredete a vas atomokon lokalizált elektronok spinje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ferromágnesesség eredete az s-sávok eltolódása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ferromágnesesség eredete a d-sávok eltolódása</w:t>
      </w:r>
      <w:r>
        <w:tab/>
        <w:t>I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MEMS technológiával készült három-tengelyű giroszkóp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detektált jele arányos az elfordulással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rezgő alkatrészeket tartalmaz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kapacitív jelet detektá</w:t>
      </w:r>
      <w:r>
        <w:rPr>
          <w:color w:val="000000"/>
        </w:rPr>
        <w:t xml:space="preserve">l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detektált jele arányos a szögsebességgel/szögsebességet mér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felfüggesztett forgó alkatrészt tartalmaz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Coriolis-erőt méri</w:t>
      </w:r>
      <w:r>
        <w:tab/>
        <w:t>I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 xml:space="preserve">Az elsőfajú szupravezető jellemzője a 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Meissner-effektus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zérus ellenállás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nagy paramágneses szuszceptibilitás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vortex-fázis/vortex-rács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perzisztens áram jelensége</w:t>
      </w:r>
      <w: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lastRenderedPageBreak/>
        <w:t>a tökéletes diamágnesesség</w:t>
      </w:r>
      <w:r>
        <w:tab/>
        <w:t>I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szupravezető vortex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elsőfajú szupravezetőkben figyelhető meg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másodfajú szupravezetőkben figyelhető meg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egy fluxuskvantumot hordoz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méretét a mágneses behatol</w:t>
      </w:r>
      <w:r>
        <w:rPr>
          <w:color w:val="000000"/>
        </w:rPr>
        <w:t xml:space="preserve">ási hossz/mélység határozza meg 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csak a minta szélén tud keletkezni/eltűnni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Meissner-fázisban figyelhető meg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méretét a koherenciahossz határozza meg</w:t>
      </w:r>
      <w:r>
        <w:tab/>
        <w:t>H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szabad elektron Sommerfeld-modellje nagyságrendileg helyesen írja le a fémek fajhőjét,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mert az elektronok hullámonként vannak tekintve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mert az elektronokhoz </w:t>
      </w:r>
      <m:oMath>
        <m:r>
          <m:t>ε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k</m:t>
            </m:r>
          </m:e>
        </m:d>
        <m:r>
          <w:rPr>
            <w:rFonts w:ascii="Cambria Math" w:eastAsia="Cambria Math" w:hAnsi="Cambria Math" w:cs="Cambria Math"/>
            <w:color w:val="000000"/>
          </w:rPr>
          <m:t>=</m:t>
        </m:r>
        <m:f>
          <m:fPr>
            <m:ctrlPr>
              <w:rPr>
                <w:rFonts w:ascii="Cambria Math" w:eastAsia="Cambria Math" w:hAnsi="Cambria Math" w:cs="Cambria Math"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ħ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Cambria Math" w:hAnsi="Cambria Math" w:cs="Cambria Math"/>
                    <w:color w:val="000000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  <w:color w:val="000000"/>
                  </w:rPr>
                  <m:t>k</m:t>
                </m:r>
              </m:e>
              <m:sup>
                <m:r>
                  <w:rPr>
                    <w:rFonts w:ascii="Cambria Math" w:eastAsia="Cambria Math" w:hAnsi="Cambria Math" w:cs="Cambria Math"/>
                    <w:color w:val="000000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 w:cs="Cambria Math"/>
                <w:color w:val="000000"/>
              </w:rPr>
              <m:t>2m</m:t>
            </m:r>
          </m:den>
        </m:f>
      </m:oMath>
      <w:r>
        <w:rPr>
          <w:color w:val="000000"/>
        </w:rPr>
        <w:t xml:space="preserve"> kinetikus energia van rendelve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mert az összes elektron gerjeszthető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mert figyelembe veszi a Pauli-elvet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mert az elektronok diszperziós relációja kvadratikus</w:t>
      </w:r>
      <w:r>
        <w:tab/>
        <w:t>H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sz</w:t>
      </w:r>
      <w:r>
        <w:t>abad elektronrendszert leíró Sommerfeld-modell alkalmazza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a Fermi-Dirac eloszlásfüggvényt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a periodikus határfeltételt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az ekvipartició tételét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a Pauli-elvet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Maxwell-eloszlásfüggvényt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Fermat-elvet</w:t>
      </w:r>
      <w:r>
        <w:tab/>
        <w:t>H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klasszikus fizika helyesen írja le a fémek vezetési elektronjaitól származó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fajhőt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mágneses szuszceptibilitást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vezetőképességet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360"/>
      </w:pPr>
      <w:r>
        <w:rPr>
          <w:color w:val="000000"/>
        </w:rPr>
        <w:t>Hall-állandót</w:t>
      </w:r>
      <w:r>
        <w:rPr>
          <w:color w:val="000000"/>
        </w:rPr>
        <w:tab/>
        <w:t>H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Egy tiszta (intrinsic) félvezetőben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a Fermi-felület jó közelítéssel gömb alakú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a hőmérséklet növelésével a vezetőképesség csökken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az elektronok száma megegyezik a lyukak számával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a kémiai potenciál a jó közelítéssel a tiltott sáv közepén helyezkedik el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csak az elektronok vezetnek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csak a lyukak vezetnek</w:t>
      </w:r>
      <w:r>
        <w:tab/>
        <w:t>H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vezetőképesség-kva</w:t>
      </w:r>
      <w:r>
        <w:t>ntum értéke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2e/h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2e</w:t>
      </w:r>
      <w:r>
        <w:rPr>
          <w:color w:val="000000"/>
          <w:vertAlign w:val="superscript"/>
        </w:rPr>
        <w:t>2</w:t>
      </w:r>
      <w:r>
        <w:rPr>
          <w:color w:val="000000"/>
        </w:rPr>
        <w:t>/h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h/2e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360"/>
      </w:pPr>
      <w:r>
        <w:rPr>
          <w:color w:val="000000"/>
        </w:rPr>
        <w:t>h/2e</w:t>
      </w:r>
      <w:r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ab/>
      </w:r>
      <w:r>
        <w:rPr>
          <w:color w:val="000000"/>
        </w:rPr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lastRenderedPageBreak/>
        <w:t>A ballisztikus és mezoszkopikus transzport közös vonása, hogy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rugalmatlan ütközések vannak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nem definiálható a fajlagos vezetőképesség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nem alakul ki termikus egyensúly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fáziskoherens transzport valósul meg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nem érvényes az Ohm-törvény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Joule hő a kontaktusok tartományában keletkezik</w:t>
      </w:r>
      <w:r>
        <w:tab/>
        <w:t>I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makroszkopikus transzport Boltzmann-egyenlettel történő leírásának jellemzője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rugalmatlan ütközések vannak, kialaku</w:t>
      </w:r>
      <w:r>
        <w:t>l a termikus egyensúly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nem definiálható a fajlagos vez</w:t>
      </w:r>
      <w:r>
        <w:rPr>
          <w:color w:val="000000"/>
        </w:rPr>
        <w:t>etőképesség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fáziskoherens transzport valósul meg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elektronok nincsenek termikus egyensúlyban a környezetükkel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elektromos tér hatására a Fermi-gömb eltolódik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nagy frekvencián a vezetőképesség nullához tart</w:t>
      </w:r>
      <w:r>
        <w:tab/>
        <w:t>I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 xml:space="preserve">Az elektronok </w:t>
      </w:r>
      <m:oMath>
        <m:r>
          <m:t>ε</m:t>
        </m:r>
        <m:r>
          <w:rPr>
            <w:rFonts w:ascii="Cambria Math" w:eastAsia="Cambria Math" w:hAnsi="Cambria Math" w:cs="Cambria Math"/>
          </w:rPr>
          <m:t>(</m:t>
        </m:r>
        <m:r>
          <w:rPr>
            <w:rFonts w:ascii="Cambria Math" w:eastAsia="Cambria Math" w:hAnsi="Cambria Math" w:cs="Cambria Math"/>
          </w:rPr>
          <m:t>k</m:t>
        </m:r>
        <m:r>
          <w:rPr>
            <w:rFonts w:ascii="Cambria Math" w:eastAsia="Cambria Math" w:hAnsi="Cambria Math" w:cs="Cambria Math"/>
          </w:rPr>
          <m:t xml:space="preserve">) </m:t>
        </m:r>
      </m:oMath>
      <w:r>
        <w:t>diszperziós relációjából meghatározható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az effektív tömeg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a csoportsebesség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a </w:t>
      </w:r>
      <m:oMath>
        <m:r>
          <w:rPr>
            <w:rFonts w:ascii="Cambria Math" w:eastAsia="Cambria Math" w:hAnsi="Cambria Math" w:cs="Cambria Math"/>
            <w:color w:val="000000"/>
          </w:rPr>
          <m:t>D</m:t>
        </m:r>
        <m:r>
          <w:rPr>
            <w:rFonts w:ascii="Cambria Math" w:eastAsia="Cambria Math" w:hAnsi="Cambria Math" w:cs="Cambria Math"/>
            <w:color w:val="000000"/>
          </w:rPr>
          <m:t>(</m:t>
        </m:r>
        <m:r>
          <w:rPr>
            <w:rFonts w:ascii="Cambria Math" w:eastAsia="Cambria Math" w:hAnsi="Cambria Math" w:cs="Cambria Math"/>
            <w:color w:val="000000"/>
          </w:rPr>
          <m:t>ε</m:t>
        </m:r>
        <m:r>
          <w:rPr>
            <w:rFonts w:ascii="Cambria Math" w:eastAsia="Cambria Math" w:hAnsi="Cambria Math" w:cs="Cambria Math"/>
            <w:color w:val="000000"/>
          </w:rPr>
          <m:t>)</m:t>
        </m:r>
      </m:oMath>
      <w:r>
        <w:rPr>
          <w:color w:val="000000"/>
        </w:rPr>
        <w:t xml:space="preserve"> állapotsűrűség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az</w:t>
      </w:r>
      <m:oMath>
        <m:r>
          <w:rPr>
            <w:rFonts w:ascii="Cambria Math" w:eastAsia="Cambria Math" w:hAnsi="Cambria Math" w:cs="Cambria Math"/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</w:rPr>
          <m:t>f</m:t>
        </m:r>
        <m:r>
          <w:rPr>
            <w:rFonts w:ascii="Cambria Math" w:eastAsia="Cambria Math" w:hAnsi="Cambria Math" w:cs="Cambria Math"/>
            <w:color w:val="000000"/>
          </w:rPr>
          <m:t>(</m:t>
        </m:r>
        <m:r>
          <w:rPr>
            <w:rFonts w:ascii="Cambria Math" w:eastAsia="Cambria Math" w:hAnsi="Cambria Math" w:cs="Cambria Math"/>
            <w:color w:val="000000"/>
          </w:rPr>
          <m:t>ε</m:t>
        </m:r>
        <m:r>
          <w:rPr>
            <w:rFonts w:ascii="Cambria Math" w:eastAsia="Cambria Math" w:hAnsi="Cambria Math" w:cs="Cambria Math"/>
            <w:color w:val="000000"/>
          </w:rPr>
          <m:t>)</m:t>
        </m:r>
      </m:oMath>
      <w:r>
        <w:rPr>
          <w:color w:val="000000"/>
        </w:rPr>
        <w:t xml:space="preserve"> Fermi-eloszlásfüggvény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Fermi-energia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az f(ε) eloszlásfüggvény</w:t>
      </w:r>
      <w: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t>a kémiai potenciál</w:t>
      </w:r>
      <w:r>
        <w:tab/>
        <w:t>H</w:t>
      </w:r>
    </w:p>
    <w:p w:rsidR="00E231B6" w:rsidRDefault="00E231B6">
      <w:pPr>
        <w:tabs>
          <w:tab w:val="left" w:pos="7371"/>
        </w:tabs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Egy fémes kristályban a vezetési elektront leíró</w:t>
      </w:r>
      <w:r>
        <w:t xml:space="preserve"> hullámfüggvény tulajdonsága, hogy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egy rácsvektorral történő eltolása esetén abszolút-értéke nem változik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 xml:space="preserve">egy rácsvektorral történő eltolás esetén </w:t>
      </w:r>
      <m:oMath>
        <m:r>
          <m:t>Ψ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r+R</m:t>
            </m:r>
          </m:e>
        </m:d>
        <m:r>
          <w:rPr>
            <w:rFonts w:ascii="Cambria Math" w:eastAsia="Cambria Math" w:hAnsi="Cambria Math" w:cs="Cambria Math"/>
            <w:color w:val="000000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e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ikr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Ψ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R</m:t>
            </m:r>
          </m:e>
        </m:d>
      </m:oMath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egy rácsvektorral történő eltolása esetén abszolút-értékének négyzete nem változik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</w:pPr>
      <w:r>
        <w:rPr>
          <w:color w:val="000000"/>
        </w:rPr>
        <w:t>egy rácsvektorral történő eltolás esetén</w:t>
      </w:r>
      <m:oMath>
        <m:r>
          <w:rPr>
            <w:rFonts w:ascii="Cambria Math" w:eastAsia="Cambria Math" w:hAnsi="Cambria Math" w:cs="Cambria Math"/>
            <w:color w:val="000000"/>
          </w:rPr>
          <m:t xml:space="preserve"> </m:t>
        </m:r>
        <m:r>
          <w:rPr>
            <w:rFonts w:ascii="Cambria Math" w:eastAsia="Cambria Math" w:hAnsi="Cambria Math" w:cs="Cambria Math"/>
            <w:color w:val="000000"/>
          </w:rPr>
          <m:t>Ψ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r+R</m:t>
            </m:r>
          </m:e>
        </m:d>
        <m:r>
          <w:rPr>
            <w:rFonts w:ascii="Cambria Math" w:eastAsia="Cambria Math" w:hAnsi="Cambria Math" w:cs="Cambria Math"/>
            <w:color w:val="000000"/>
          </w:rPr>
          <m:t>=</m:t>
        </m:r>
        <m:sSup>
          <m:sSupPr>
            <m:ctrlPr>
              <w:rPr>
                <w:rFonts w:ascii="Cambria Math" w:eastAsia="Cambria Math" w:hAnsi="Cambria Math" w:cs="Cambria Math"/>
                <w:color w:val="000000"/>
              </w:rPr>
            </m:ctrlPr>
          </m:sSupPr>
          <m:e>
            <m:r>
              <w:rPr>
                <w:rFonts w:ascii="Cambria Math" w:eastAsia="Cambria Math" w:hAnsi="Cambria Math" w:cs="Cambria Math"/>
                <w:color w:val="000000"/>
              </w:rPr>
              <m:t>e</m:t>
            </m:r>
          </m:e>
          <m:sup>
            <m:r>
              <w:rPr>
                <w:rFonts w:ascii="Cambria Math" w:eastAsia="Cambria Math" w:hAnsi="Cambria Math" w:cs="Cambria Math"/>
                <w:color w:val="000000"/>
              </w:rPr>
              <m:t>ikr</m:t>
            </m:r>
          </m:sup>
        </m:sSup>
        <m:r>
          <w:rPr>
            <w:rFonts w:ascii="Cambria Math" w:eastAsia="Cambria Math" w:hAnsi="Cambria Math" w:cs="Cambria Math"/>
            <w:color w:val="000000"/>
          </w:rPr>
          <m:t>Ψ</m:t>
        </m:r>
        <m:d>
          <m:dPr>
            <m:ctrlPr>
              <w:rPr>
                <w:rFonts w:ascii="Cambria Math" w:eastAsia="Cambria Math" w:hAnsi="Cambria Math" w:cs="Cambria Math"/>
                <w:color w:val="000000"/>
              </w:rPr>
            </m:ctrlPr>
          </m:dPr>
          <m:e>
            <m:r>
              <w:rPr>
                <w:rFonts w:ascii="Cambria Math" w:eastAsia="Cambria Math" w:hAnsi="Cambria Math" w:cs="Cambria Math"/>
                <w:color w:val="000000"/>
              </w:rPr>
              <m:t>r</m:t>
            </m:r>
          </m:e>
        </m:d>
      </m:oMath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periodikus (egy rácsvektorral történő eltolás esetén nem változik)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abszolút-értéke periodikus (egy rácsvektorral történő eltolás esetén nem változik)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abszolút-értékének négyzete periodikus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egy rácsvektorral történő eltolás esetén csak egy fázisfaktorral változik</w:t>
      </w:r>
      <w:r>
        <w:tab/>
        <w:t>I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>A kvantum-pötty tulajdonságait meghatározó fizikai jelenség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elektron töltése által meghatározott diszkrét nívószerkezet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kis méret á</w:t>
      </w:r>
      <w:r>
        <w:rPr>
          <w:color w:val="000000"/>
        </w:rPr>
        <w:t>ltal meghatározott diszkrét nívószerkezet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elektronok fémes terjedése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elektronok alagúteffektussal történő terjedése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ferromágnesesség átlagtér közelítésében alkalmazott Weiss-tér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Curie-hőmérséklet felett nullától különbözik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Cuire-hőmérséklet felett nulla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arányos a telítési mágnesezettséggel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arányos a mágnesezettséggel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lastRenderedPageBreak/>
        <w:t>A lock-in erősítő (phase sensitive detector)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gerjesztési frekvenciának megfelelő szűrőt tartalmaz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gerjesztéssel azonos frekvenciájú komponenseket átlagolja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azt a jelet detektálja, amiről tudjuk, hogy mi gerjesztettük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egyszerre méri egy komplex impedancia ReZ és ImZ komponensét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mágnesesen lebegtetett béka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súlytalanság állapotában van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súlytal</w:t>
      </w:r>
      <w:r>
        <w:rPr>
          <w:color w:val="000000"/>
        </w:rPr>
        <w:t>anság állapotát érzi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diamágneses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paramágneses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Mágneses térben lehűtött ideális fémben a szupravezetőben a tér kikapcsolása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mindkettőben indít felületi áramokat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csak a fémben indít felületi áramokat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csak a szupravezetőben indít felületi áramokat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egyikben sem indít felületi áramokat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H</w:t>
      </w:r>
      <w:r>
        <w:rPr>
          <w:vertAlign w:val="subscript"/>
        </w:rPr>
        <w:t>C1</w:t>
      </w:r>
      <w:r>
        <w:t xml:space="preserve"> és H</w:t>
      </w:r>
      <w:r>
        <w:rPr>
          <w:vertAlign w:val="subscript"/>
        </w:rPr>
        <w:t>C2</w:t>
      </w:r>
      <w:r>
        <w:t xml:space="preserve"> kritikus tér közötti tartományban a másodfajú szupravezető jellemzője a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nagy paramágneses szuszceptibilitás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nem nulla d.c. ellenállás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perzisztens áram jelensége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vortex-fázis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spacing w:before="0"/>
      </w:pPr>
      <w:r>
        <w:t>Fémekben a kristályhi</w:t>
      </w:r>
      <w:r>
        <w:t>bákon történő rugalmas szóródásból származó ellenállás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hőmérséklet-független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arányos a hőmérséklettel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hőmérséklet négyzetével változik 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 xml:space="preserve">a hőmérséklet ötödik hatványával változik 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spacing w:before="0"/>
      </w:pPr>
      <w:r>
        <w:t>A fluxus-kvantum értéke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2e</w:t>
      </w:r>
      <w:r>
        <w:rPr>
          <w:color w:val="000000"/>
          <w:vertAlign w:val="superscript"/>
        </w:rPr>
        <w:t>2</w:t>
      </w:r>
      <w:r>
        <w:rPr>
          <w:color w:val="000000"/>
        </w:rPr>
        <w:t>/h</w:t>
      </w:r>
      <w:r>
        <w:rPr>
          <w:color w:val="000000"/>
        </w:rPr>
        <w:tab/>
        <w:t>H???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2e/h</w:t>
      </w:r>
      <w:r>
        <w:rPr>
          <w:color w:val="000000"/>
        </w:rPr>
        <w:tab/>
        <w:t>I???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h/2e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360"/>
        <w:rPr>
          <w:color w:val="000000"/>
        </w:rPr>
      </w:pPr>
      <w:r>
        <w:rPr>
          <w:color w:val="000000"/>
        </w:rPr>
        <w:t>h/2e</w:t>
      </w:r>
      <w:r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ab/>
      </w:r>
      <w:r>
        <w:rPr>
          <w:color w:val="000000"/>
        </w:rPr>
        <w:t>H</w:t>
      </w:r>
    </w:p>
    <w:p w:rsidR="00E231B6" w:rsidRDefault="00E231B6">
      <w:pPr>
        <w:tabs>
          <w:tab w:val="left" w:pos="7371"/>
        </w:tabs>
        <w:spacing w:after="0"/>
      </w:pPr>
    </w:p>
    <w:p w:rsidR="00E231B6" w:rsidRDefault="00B62BD9">
      <w:pPr>
        <w:pStyle w:val="Cmsor3"/>
        <w:numPr>
          <w:ilvl w:val="0"/>
          <w:numId w:val="13"/>
        </w:numPr>
      </w:pPr>
      <w:r>
        <w:t>A nagy tisztaságú szilícium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indirekt tiltott sávval rendelkezik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direkt tiltott sávval rendelkezik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kristályszerkezete kovalens kötésekből alakul ki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szobahőmérsékleten tökéletes szigetelő</w:t>
      </w:r>
      <w:r>
        <w:rPr>
          <w:color w:val="000000"/>
        </w:rPr>
        <w:tab/>
        <w:t>I</w:t>
      </w:r>
    </w:p>
    <w:p w:rsidR="00E231B6" w:rsidRDefault="00B62BD9">
      <w:pPr>
        <w:pStyle w:val="Cmsor3"/>
        <w:numPr>
          <w:ilvl w:val="0"/>
          <w:numId w:val="13"/>
        </w:numPr>
        <w:spacing w:before="0"/>
      </w:pPr>
      <w:r>
        <w:t xml:space="preserve">A Drude-modell alapján számolt dielektromos tényező </w:t>
      </w:r>
      <w:r>
        <w:rPr>
          <w:b/>
        </w:rPr>
        <w:t>nem</w:t>
      </w:r>
      <w:r>
        <w:t xml:space="preserve"> tudja leírni a fémekre jellemző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tökéletes reflexiót alacsony frekvenciákon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abszorpciós tartományt (Hagen-Rubens törvényt)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koherens oszcillációt (plazma rezgést)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ultraibolya átlátszóságot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t>A négyzetrácsra felírt két-dimenziós szoros kötésű közelítés</w:t>
      </w:r>
      <w:r>
        <w:t>ben a félig töltött sáv Fermi-felülete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Brillouin-zóna középpontja körül rajzolt kör alakú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Brillouin-zónához képest 45%-kal elforgatott négyzet alakú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Brillouin-zóna négy sarkában helyezett negyed-körökből épül fel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 Brillouin-zónához képest 90%-</w:t>
      </w:r>
      <w:r>
        <w:rPr>
          <w:color w:val="000000"/>
        </w:rPr>
        <w:t>kal elforgatott négyzet alakú</w:t>
      </w:r>
      <w:r>
        <w:rPr>
          <w:color w:val="000000"/>
        </w:rPr>
        <w:tab/>
        <w:t>H</w:t>
      </w: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  <w:spacing w:before="0"/>
      </w:pPr>
      <w:r>
        <w:lastRenderedPageBreak/>
        <w:t>Egy atom vagy ion mágneses, ha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teljesen betöltött nívókkal rendelkezik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elektronoktól származó impulzusmomentuma nulla</w:t>
      </w:r>
      <w:r>
        <w:rPr>
          <w:color w:val="000000"/>
        </w:rPr>
        <w:tab/>
        <w:t>H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/>
        <w:ind w:hanging="360"/>
        <w:rPr>
          <w:color w:val="000000"/>
        </w:rPr>
      </w:pPr>
      <w:r>
        <w:rPr>
          <w:color w:val="000000"/>
        </w:rPr>
        <w:t>az elektronoktól származó impulzusmomentuma nem nulla</w:t>
      </w:r>
      <w:r>
        <w:rPr>
          <w:color w:val="000000"/>
        </w:rPr>
        <w:tab/>
        <w:t>I</w:t>
      </w:r>
    </w:p>
    <w:p w:rsidR="00E231B6" w:rsidRDefault="00B62BD9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ind w:hanging="360"/>
        <w:rPr>
          <w:color w:val="000000"/>
        </w:rPr>
      </w:pPr>
      <w:r>
        <w:rPr>
          <w:color w:val="000000"/>
        </w:rPr>
        <w:t>páratlan számó elektront tartalmaz</w:t>
      </w:r>
      <w:r>
        <w:rPr>
          <w:color w:val="000000"/>
        </w:rPr>
        <w:tab/>
        <w:t>H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r>
        <w:t xml:space="preserve">A fotonhoz rendelt </w:t>
      </w:r>
      <m:oMath>
        <m:r>
          <w:rPr>
            <w:rFonts w:ascii="Cambria Math" w:eastAsia="Cambria Math" w:hAnsi="Cambria Math" w:cs="Cambria Math"/>
          </w:rPr>
          <m:t>ħ</m:t>
        </m:r>
        <m:r>
          <w:rPr>
            <w:rFonts w:ascii="Cambria Math" w:eastAsia="Cambria Math" w:hAnsi="Cambria Math" w:cs="Cambria Math"/>
          </w:rPr>
          <m:t>k</m:t>
        </m:r>
      </m:oMath>
      <w:r>
        <w:t xml:space="preserve"> impulzus felismerésére vezető jelenség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alagút-effektus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az interferencia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fotoemisszió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hőmérsékleti sugárzás</w:t>
      </w:r>
      <w:r>
        <w:tab/>
        <w:t>H</w:t>
      </w:r>
    </w:p>
    <w:p w:rsidR="00E231B6" w:rsidRDefault="00E231B6">
      <w:pPr>
        <w:pStyle w:val="Cmsor3"/>
        <w:tabs>
          <w:tab w:val="left" w:pos="7371"/>
        </w:tabs>
        <w:ind w:left="0" w:firstLine="0"/>
        <w:rPr>
          <w:color w:val="000000"/>
          <w:sz w:val="22"/>
          <w:szCs w:val="22"/>
        </w:rPr>
      </w:pPr>
    </w:p>
    <w:p w:rsidR="00E231B6" w:rsidRDefault="00B62BD9">
      <w:pPr>
        <w:pStyle w:val="Cmsor3"/>
        <w:numPr>
          <w:ilvl w:val="0"/>
          <w:numId w:val="13"/>
        </w:numPr>
        <w:tabs>
          <w:tab w:val="left" w:pos="7371"/>
        </w:tabs>
      </w:pPr>
      <w:bookmarkStart w:id="6" w:name="_heading=h.p802dpzjc6v" w:colFirst="0" w:colLast="0"/>
      <w:bookmarkEnd w:id="6"/>
      <w:r>
        <w:t>A váltóáramú Josephson-effektusban szerepet játszik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kvantummechanikai alagutazás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fluxus-kvantálás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spacing w:after="0"/>
        <w:ind w:hanging="360"/>
      </w:pPr>
      <w:r>
        <w:t>a Cooper-párok töltése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Meissner-effektus</w:t>
      </w:r>
      <w:r>
        <w:tab/>
        <w:t>H</w:t>
      </w:r>
    </w:p>
    <w:p w:rsidR="00E231B6" w:rsidRDefault="00E231B6">
      <w:pPr>
        <w:tabs>
          <w:tab w:val="left" w:pos="7371"/>
        </w:tabs>
      </w:pP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Röntgen-diffrakciós szerkezetvizsgálatra alkalmas sugárforrás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szabad-elektron lézer sugárzása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szinkrotron sugárzás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ciklotron sugárzás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spallációs forrás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THz lézer</w:t>
      </w:r>
      <w:r>
        <w:tab/>
        <w:t>H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Mágneses szerkezet meghatározására a</w:t>
      </w:r>
      <w:r>
        <w:t>lkalmas mérés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elektrondiffrakció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Röntgendiffrakció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neutrondiffrakció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lézer diffrakció</w:t>
      </w:r>
      <w:r>
        <w:tab/>
        <w:t>H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kvázikristályok kétdimenziós Penrose-modelljében a sík .. van lefedve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ötszögekkel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két különböző felületű rombusszal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két egyenlő felületű rombusszal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egy me</w:t>
      </w:r>
      <w:r>
        <w:t>gfelelően választott rombusszal</w:t>
      </w:r>
      <w:r>
        <w:tab/>
        <w:t>H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Az amorf anyagokon végzett rugalmas szóráskísérlet eredménye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lastRenderedPageBreak/>
        <w:t>a párkorrelációs függvény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Brillouin-függvény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reciprokrács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Gauss-függvény</w:t>
      </w:r>
      <w:r>
        <w:tab/>
        <w:t>H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Röntgen-holográfia kísérletekben az interferáló nyalábok sugárforrása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kristály atomjai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Röntgen-cső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szinkrotron-forrás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szabad-elektron lézer</w:t>
      </w:r>
      <w:r>
        <w:tab/>
        <w:t>H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Penrose-csempézés tlajdonsága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ötfogású lokális szimmetria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ötfogású forgási szimmetria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lefedés iránymegőrző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nem periodikus térkitöltés</w:t>
      </w:r>
      <w:r>
        <w:tab/>
        <w:t>I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Az elektromágneses hullám anyagg</w:t>
      </w:r>
      <w:r>
        <w:t>al való kölcsönhatásakor erőhatás lép fel a .. során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elhajlás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visszaverődés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elnyelődés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diffrakció</w:t>
      </w:r>
      <w:r>
        <w:tab/>
        <w:t>I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Fowler-Nordheim alagút jelenséget alkalmazó eszköz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Flash-memória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pásztázó alagútmikroszkóp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szupravezető kvantuminterferométer (SQUID)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elektron</w:t>
      </w:r>
      <w:r>
        <w:t>ágyú (TEM)</w:t>
      </w:r>
      <w:r>
        <w:tab/>
        <w:t>I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Egy hullámcsomag terjedési sebessége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fázissebesség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csoportsebesség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ħk/m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d eps/dk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Energia-sajátállapotban egy részecske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impulzusa mindig nulla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lastRenderedPageBreak/>
        <w:t>valószínűségi áramsűrűsége mindig nulla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megtalálási valószínűsége időben állandó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megtalálási valószínűsége időben oszcillál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hullámfüggvénye időben állandó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hullámfüggvénye időben oszcillál</w:t>
      </w:r>
      <w:r>
        <w:tab/>
        <w:t>I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kvantummechanikai méréselmélet szerint egy mérés mindig a fizikai mennyiséget reprezentáló operátor .. adja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átlagértékét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várható értékét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sajátértékét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sajártértékek valószínűséggel súlyozott átlagát</w:t>
      </w:r>
      <w:r>
        <w:tab/>
        <w:t>H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Egy kristálynak nem elemi cellája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Wigner-Seitz cella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primitív cella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Brillouin-zóna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bázisvektorok által kifeszített paralellepipedon</w:t>
      </w:r>
      <w:r>
        <w:tab/>
        <w:t>H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diszkrét transzlációs szimmetria megengedi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kv</w:t>
      </w:r>
      <w:r>
        <w:t>ázikristályokra jellemző szerkezetet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az inverziós szimmetria hiányát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az 5-fogású forgási szimmetriát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az inverziós szimmetriát</w:t>
      </w:r>
      <w:r>
        <w:tab/>
        <w:t>I?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pontra tükrözés szimmetriáját</w:t>
      </w:r>
      <w:r>
        <w:tab/>
        <w:t>I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fény-nyomás értéke nő, ha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nő a hullámhossz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csökken a hullámhossz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nő a frekvencia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nő az intenzitás</w:t>
      </w:r>
      <w:r>
        <w:tab/>
        <w:t>I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Egy lambda hullámhosszúságú síkhullámmal leírt szabad részecskére igaz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az impulzus várható értéke h/lambda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lastRenderedPageBreak/>
        <w:t>az impulzus szórása nulla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az energia szórása nulla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hullámfüggvénye időben állandó</w:t>
      </w:r>
      <w:r>
        <w:tab/>
        <w:t>H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kristályrács szimmetriájával rendelkező térfogatelem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Wigner-Seitz cella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primitív cella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legközelebbi rácspontokba mutató vektorok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Brillouin-zóna</w:t>
      </w:r>
      <w:r>
        <w:tab/>
        <w:t>I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másodfajú szupravezető vortex-fázisára jellemző a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nem nulla DC ellenállás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perzisztens áram jelen</w:t>
      </w:r>
      <w:r>
        <w:t>sége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nagy paramágneses szuszceptibilitás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tökéletes diamágnesesség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mágneses tér behatolása</w:t>
      </w:r>
      <w:r>
        <w:tab/>
        <w:t>I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GaAlAs-GaAs heteroszerkezetben remote doping eljárással kialakított 2-dimenziós elektronrendszer jellemzője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kis felületi elektronsűrűség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nagy Fermi-hullámhossz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nagy Fermi-hullámszám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nagy effektív tömeg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kis effektív tömeg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nagy mobilités</w:t>
      </w:r>
      <w:r>
        <w:tab/>
        <w:t>I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III-V (pl. GaAs) típusú félvezetőkben azért figyelhető meg a spin-Hall effektus, mert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az elektronok kis effektív tömeggel rendelkeznek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direkt t</w:t>
      </w:r>
      <w:r>
        <w:t>iltott sáv van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indirekt tiltott sáv van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nincs inverziós szimmetria</w:t>
      </w:r>
      <w:r>
        <w:tab/>
        <w:t>I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III-V (pl. GaAs) típusú félvezetők azért alkalmasak lézer készítésére, mert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direkt tiltott sáv van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lastRenderedPageBreak/>
        <w:t>nincs inverziós szimmetria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indirekt tiltott sáv van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 xml:space="preserve">az elektronok nagy effektív tömeggel rendelkeznek </w:t>
      </w:r>
      <w:r>
        <w:tab/>
        <w:t>H</w:t>
      </w:r>
    </w:p>
    <w:p w:rsidR="00E231B6" w:rsidRDefault="00B62BD9">
      <w:pPr>
        <w:numPr>
          <w:ilvl w:val="0"/>
          <w:numId w:val="13"/>
        </w:numPr>
        <w:tabs>
          <w:tab w:val="left" w:pos="7371"/>
        </w:tabs>
      </w:pPr>
      <w:r>
        <w:t>A szupravezető kvantum-interferométer működése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spin-Hall effektuson alapul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Josephson effektuson alapul</w:t>
      </w:r>
      <w:r>
        <w:tab/>
        <w:t>I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>a Fowler-Nordheim alagút effektuson alapul</w:t>
      </w:r>
      <w:r>
        <w:tab/>
        <w:t>H</w:t>
      </w:r>
    </w:p>
    <w:p w:rsidR="00E231B6" w:rsidRDefault="00B62BD9">
      <w:pPr>
        <w:numPr>
          <w:ilvl w:val="1"/>
          <w:numId w:val="13"/>
        </w:numPr>
        <w:tabs>
          <w:tab w:val="left" w:pos="7371"/>
        </w:tabs>
        <w:ind w:hanging="360"/>
      </w:pPr>
      <w:r>
        <w:t xml:space="preserve">a Faraday effektuson alapul </w:t>
      </w:r>
      <w:r>
        <w:tab/>
        <w:t>H</w:t>
      </w:r>
    </w:p>
    <w:p w:rsidR="00E231B6" w:rsidRDefault="00B62BD9">
      <w:pPr>
        <w:pStyle w:val="Cmsor2"/>
        <w:tabs>
          <w:tab w:val="left" w:pos="7371"/>
        </w:tabs>
      </w:pPr>
      <w:r>
        <w:t>Kahoots</w:t>
      </w: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Q1</w:t>
      </w:r>
      <w:r>
        <w:t xml:space="preserve"> A kla</w:t>
      </w:r>
      <w:r>
        <w:t>sszikus fizikai leírása helyes eredményt ad egyszerű fémekben az elektronok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fajhőjére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b)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14"/>
          <w:szCs w:val="14"/>
        </w:rPr>
        <w:tab/>
      </w:r>
      <w:r>
        <w:rPr>
          <w:b/>
          <w:color w:val="000000"/>
        </w:rPr>
        <w:t>állapotsűrűségére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mágneses tulajdonságaira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Hall-jelenségére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Q2</w:t>
      </w:r>
      <w:r>
        <w:t xml:space="preserve"> Fémek elektronszerkezetének meghatározására alkalmas eljárás a(z)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elektron-szórás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neutron-szórás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Röntgen-diffrakció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d)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14"/>
          <w:szCs w:val="14"/>
        </w:rPr>
        <w:tab/>
      </w:r>
      <w:r>
        <w:rPr>
          <w:b/>
          <w:color w:val="000000"/>
        </w:rPr>
        <w:t>fotoemissziós spektroszkópia</w:t>
      </w:r>
    </w:p>
    <w:p w:rsidR="00E231B6" w:rsidRDefault="00E231B6">
      <w:pPr>
        <w:pStyle w:val="Cmsor5"/>
        <w:tabs>
          <w:tab w:val="left" w:pos="7371"/>
        </w:tabs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Q4</w:t>
      </w:r>
      <w:r>
        <w:t xml:space="preserve"> A fémek vezetési elektronjait a  ...  szerint különböztetjük meg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a)</w:t>
      </w:r>
      <w:r>
        <w:rPr>
          <w:b/>
          <w:color w:val="000000"/>
          <w:sz w:val="14"/>
          <w:szCs w:val="14"/>
        </w:rPr>
        <w:t xml:space="preserve">  </w:t>
      </w:r>
      <w:r>
        <w:rPr>
          <w:b/>
          <w:color w:val="000000"/>
          <w:sz w:val="14"/>
          <w:szCs w:val="14"/>
        </w:rPr>
        <w:tab/>
      </w:r>
      <w:r>
        <w:rPr>
          <w:b/>
          <w:color w:val="000000"/>
        </w:rPr>
        <w:t>a hullámszámuk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hely-koordinátájuk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 terjedésük pályája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14"/>
          <w:szCs w:val="14"/>
        </w:rPr>
        <w:tab/>
      </w:r>
      <w:r>
        <w:rPr>
          <w:color w:val="000000"/>
        </w:rPr>
        <w:t>megtalálási valószínűségük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  <w:rPr>
          <w:highlight w:val="white"/>
        </w:rPr>
      </w:pPr>
      <w:r>
        <w:rPr>
          <w:b/>
        </w:rPr>
        <w:t>Q2</w:t>
      </w:r>
      <w:r>
        <w:t xml:space="preserve"> </w:t>
      </w:r>
      <w:r>
        <w:rPr>
          <w:highlight w:val="white"/>
        </w:rPr>
        <w:t xml:space="preserve">Melyik állítás </w:t>
      </w:r>
      <w:r>
        <w:rPr>
          <w:b/>
          <w:highlight w:val="white"/>
        </w:rPr>
        <w:t>nem igaz</w:t>
      </w:r>
      <w:r>
        <w:rPr>
          <w:highlight w:val="white"/>
        </w:rPr>
        <w:t xml:space="preserve"> a törzselektronokra vonatkozóan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 szabad elektronoknál alacsonyabb energiával rendelkeznek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az atomokra lokalizált elektronok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az atomszerkezetben teljesen betöltött héjat alkot</w:t>
      </w:r>
      <w:r>
        <w:rPr>
          <w:color w:val="000000"/>
        </w:rPr>
        <w:t>nak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d)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14"/>
          <w:szCs w:val="14"/>
        </w:rPr>
        <w:tab/>
      </w:r>
      <w:r>
        <w:rPr>
          <w:b/>
          <w:color w:val="000000"/>
        </w:rPr>
        <w:t>minden atomhoz egyforma valószínűséggel tartoznak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Q3</w:t>
      </w:r>
      <w:r>
        <w:t xml:space="preserve"> A Bloch-tétel szerint a kristály periodikus potenciáljába helyezett elektron hullámfüggvénye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követi a rács periodicitását (rácsperiodikus)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b)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14"/>
          <w:szCs w:val="14"/>
        </w:rPr>
        <w:tab/>
      </w:r>
      <w:r>
        <w:rPr>
          <w:b/>
          <w:color w:val="000000"/>
        </w:rPr>
        <w:t>egy rácsperiodikus függvénnyel modulált síkhullám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kielégíti a Ψ(</w:t>
      </w:r>
      <w:r>
        <w:rPr>
          <w:b/>
          <w:color w:val="000000"/>
        </w:rPr>
        <w:t>r</w:t>
      </w:r>
      <w:r>
        <w:rPr>
          <w:color w:val="000000"/>
        </w:rPr>
        <w:t>+</w:t>
      </w:r>
      <w:r>
        <w:rPr>
          <w:b/>
          <w:color w:val="000000"/>
        </w:rPr>
        <w:t>R</w:t>
      </w:r>
      <w:r>
        <w:rPr>
          <w:color w:val="000000"/>
        </w:rPr>
        <w:t>)=e</w:t>
      </w:r>
      <w:r>
        <w:rPr>
          <w:color w:val="000000"/>
          <w:vertAlign w:val="superscript"/>
        </w:rPr>
        <w:t>i</w:t>
      </w:r>
      <w:r>
        <w:rPr>
          <w:b/>
          <w:color w:val="000000"/>
          <w:vertAlign w:val="superscript"/>
        </w:rPr>
        <w:t>kr</w:t>
      </w:r>
      <w:r>
        <w:rPr>
          <w:color w:val="000000"/>
        </w:rPr>
        <w:t xml:space="preserve"> Ψ(</w:t>
      </w:r>
      <w:r>
        <w:rPr>
          <w:b/>
          <w:color w:val="000000"/>
        </w:rPr>
        <w:t>R</w:t>
      </w:r>
      <w:r>
        <w:rPr>
          <w:color w:val="000000"/>
        </w:rPr>
        <w:t>) összefüggést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kielégíti a Ψ(</w:t>
      </w:r>
      <w:r>
        <w:rPr>
          <w:b/>
          <w:color w:val="000000"/>
        </w:rPr>
        <w:t>r</w:t>
      </w:r>
      <w:r>
        <w:rPr>
          <w:color w:val="000000"/>
        </w:rPr>
        <w:t>+</w:t>
      </w:r>
      <w:r>
        <w:rPr>
          <w:b/>
          <w:color w:val="000000"/>
        </w:rPr>
        <w:t>R</w:t>
      </w:r>
      <w:r>
        <w:rPr>
          <w:color w:val="000000"/>
        </w:rPr>
        <w:t>)=e</w:t>
      </w:r>
      <w:r>
        <w:rPr>
          <w:color w:val="000000"/>
          <w:vertAlign w:val="superscript"/>
        </w:rPr>
        <w:t>i</w:t>
      </w:r>
      <w:r>
        <w:rPr>
          <w:b/>
          <w:color w:val="000000"/>
          <w:vertAlign w:val="superscript"/>
        </w:rPr>
        <w:t>kr</w:t>
      </w:r>
      <w:r>
        <w:rPr>
          <w:color w:val="000000"/>
        </w:rPr>
        <w:t xml:space="preserve"> Ψ(</w:t>
      </w:r>
      <w:r>
        <w:rPr>
          <w:b/>
          <w:color w:val="000000"/>
        </w:rPr>
        <w:t>r</w:t>
      </w:r>
      <w:r>
        <w:rPr>
          <w:color w:val="000000"/>
        </w:rPr>
        <w:t>) összefüggést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Q5</w:t>
      </w:r>
      <w:r>
        <w:t xml:space="preserve"> Az elektronok közti párkölcsönhatás elhanyagolásával is le lehet írni a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az elektron atomokra történő lokalizációját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b)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14"/>
          <w:szCs w:val="14"/>
        </w:rPr>
        <w:tab/>
      </w:r>
      <w:r>
        <w:rPr>
          <w:b/>
          <w:color w:val="000000"/>
        </w:rPr>
        <w:t>a szigetelő tulajdonságot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 mágneses anyagokat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 szupravezetés jelenségét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Q2</w:t>
      </w:r>
      <w:r>
        <w:t xml:space="preserve"> A szoros kötésű közelítésben a tiltott sávot ...  határozza meg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az átfedési integrálok értéke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az atomi nívók távolsága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c)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4"/>
          <w:szCs w:val="14"/>
        </w:rPr>
        <w:tab/>
      </w:r>
      <w:r>
        <w:rPr>
          <w:b/>
          <w:color w:val="000000"/>
        </w:rPr>
        <w:t>az átfedési integrálok értéke + atomi nívók távolsága együtt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 vezetési sáv betöltöttsége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Q3</w:t>
      </w:r>
      <w:r>
        <w:t xml:space="preserve"> Szoros kötésű közelítésben az effektív tömeg negatív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az s-típusú sáv alján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az p-típusú sáv alján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s-típusú sávban a Brillouin-zóna közepén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d)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14"/>
          <w:szCs w:val="14"/>
        </w:rPr>
        <w:tab/>
      </w:r>
      <w:r>
        <w:rPr>
          <w:b/>
          <w:color w:val="000000"/>
        </w:rPr>
        <w:t>a p-típusú sávban a Brillouin-zóna közepén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Q4</w:t>
      </w:r>
      <w:r>
        <w:t xml:space="preserve"> Melyik állítás tartalmaz hibát?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Fémekben ε</w:t>
      </w:r>
      <w:r>
        <w:rPr>
          <w:color w:val="000000"/>
          <w:vertAlign w:val="subscript"/>
        </w:rPr>
        <w:t>F</w:t>
      </w:r>
      <w:r>
        <w:rPr>
          <w:color w:val="000000"/>
        </w:rPr>
        <w:t xml:space="preserve"> a vezetési sávon belül helyezkedik el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b)</w:t>
      </w:r>
      <w:r>
        <w:rPr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Félvezetőkben ε</w:t>
      </w:r>
      <w:r>
        <w:rPr>
          <w:b/>
          <w:color w:val="000000"/>
          <w:vertAlign w:val="subscript"/>
        </w:rPr>
        <w:t>F</w:t>
      </w:r>
      <w:r>
        <w:rPr>
          <w:b/>
          <w:color w:val="000000"/>
        </w:rPr>
        <w:t xml:space="preserve"> a tiltott sávon belül helyezkedik el.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Fémekben μ a vezetési sávon belül helyezkedik el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Félvezetőkben μ a tiltott sávon belül helyezkedik el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Q5</w:t>
      </w:r>
      <w:r>
        <w:t xml:space="preserve"> Melyik állítás </w:t>
      </w:r>
      <w:r>
        <w:rPr>
          <w:b/>
        </w:rPr>
        <w:t>nem igaz</w:t>
      </w:r>
      <w:r>
        <w:t xml:space="preserve"> a tiszta szilícium vegyértéksávját alkotó elektronjaira vonatkozóan?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Ezek az elektronok alkotják a kristály kovalens kötéseit.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Az egész kristályra kiterjednek.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Ezek az elektronok több eV széles sávot alkotnak.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d)</w:t>
      </w:r>
      <w:r>
        <w:rPr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Ezektől lyuk típusú vezető a kristály.</w:t>
      </w:r>
    </w:p>
    <w:p w:rsidR="00E231B6" w:rsidRDefault="00E231B6">
      <w:pPr>
        <w:pStyle w:val="Cmsor4"/>
        <w:tabs>
          <w:tab w:val="left" w:pos="7371"/>
        </w:tabs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Q1</w:t>
      </w:r>
      <w:r>
        <w:t xml:space="preserve"> A GaAs (III-V típusú) félvezetőben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az As</w:t>
      </w:r>
      <w:r>
        <w:rPr>
          <w:color w:val="000000"/>
          <w:vertAlign w:val="superscript"/>
        </w:rPr>
        <w:t>5+</w:t>
      </w:r>
      <w:r>
        <w:rPr>
          <w:color w:val="000000"/>
        </w:rPr>
        <w:t xml:space="preserve"> ionok donor atomként viselkednek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indirekt tiltott sáv alakul ki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 kovales kötést ionos kötés váltja fel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d)</w:t>
      </w:r>
      <w:r>
        <w:rPr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nincs inverziós szimmetria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Q2</w:t>
      </w:r>
      <w:r>
        <w:t xml:space="preserve"> Az 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>As-GaAs heteroátmenetben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2-dimenziós elektrongáz jön létre a δ-dópolt síkban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az Al</w:t>
      </w:r>
      <w:r>
        <w:rPr>
          <w:color w:val="000000"/>
          <w:vertAlign w:val="subscript"/>
        </w:rPr>
        <w:t>x</w:t>
      </w:r>
      <w:r>
        <w:rPr>
          <w:color w:val="000000"/>
        </w:rPr>
        <w:t>Ga</w:t>
      </w:r>
      <w:r>
        <w:rPr>
          <w:color w:val="000000"/>
          <w:vertAlign w:val="subscript"/>
        </w:rPr>
        <w:t>1-x</w:t>
      </w:r>
      <w:r>
        <w:rPr>
          <w:color w:val="000000"/>
        </w:rPr>
        <w:t>As oldal adalékolt félvezetőként viselkedik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 rácsállandók eltérése miatt 2d kvantum-gödör alakul ki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d)</w:t>
      </w:r>
      <w:r>
        <w:rPr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a határfelület elektromosan töltött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Q3</w:t>
      </w:r>
      <w:r>
        <w:t xml:space="preserve"> Az Al</w:t>
      </w:r>
      <w:r>
        <w:rPr>
          <w:vertAlign w:val="subscript"/>
        </w:rPr>
        <w:t>x</w:t>
      </w:r>
      <w:r>
        <w:t>Ga</w:t>
      </w:r>
      <w:r>
        <w:rPr>
          <w:vertAlign w:val="subscript"/>
        </w:rPr>
        <w:t>1-x</w:t>
      </w:r>
      <w:r>
        <w:t>As-GaAs heteroátmenet 2d elektronjainak nagy mobilitásban szerepet játszik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a)</w:t>
      </w:r>
      <w:r>
        <w:rPr>
          <w:b/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a GaAs diszperziós relációja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az elektronok nagy hullámszáma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az elektronok nagy impulzusa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 Al</w:t>
      </w:r>
      <w:r>
        <w:rPr>
          <w:color w:val="000000"/>
          <w:vertAlign w:val="subscript"/>
        </w:rPr>
        <w:t>x</w:t>
      </w:r>
      <w:r>
        <w:rPr>
          <w:color w:val="000000"/>
        </w:rPr>
        <w:t>Ga</w:t>
      </w:r>
      <w:r>
        <w:rPr>
          <w:color w:val="000000"/>
          <w:vertAlign w:val="subscript"/>
        </w:rPr>
        <w:t>1-x</w:t>
      </w:r>
      <w:r>
        <w:rPr>
          <w:color w:val="000000"/>
        </w:rPr>
        <w:t>As sávszerkezete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Q4</w:t>
      </w:r>
      <w:r>
        <w:t xml:space="preserve"> A ballisztikus elektronterjedésre jellemző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nulla ellenállás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b)</w:t>
      </w:r>
      <w:r>
        <w:rPr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nem függ az anyagi paraméterektől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nulla fajlagos ellenállás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nagy mobilitás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Q5</w:t>
      </w:r>
      <w:r>
        <w:t xml:space="preserve"> Egy "half-metal"-ban a Fermi-energia a(z)  ...   helyezkedik el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indirekt tiltott sávú félvezető két sávjának átfedő részében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b)</w:t>
      </w:r>
      <w:r>
        <w:rPr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kizárólag egyféle spinű elektront tartalmazó sávban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direkt tiltott sávú félvezetőben a tiltott sáv közepén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különböző spinű elektronokat tartalmazó sávok között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4"/>
        <w:tabs>
          <w:tab w:val="left" w:pos="7371"/>
        </w:tabs>
      </w:pPr>
      <w:r>
        <w:rPr>
          <w:b/>
        </w:rPr>
        <w:t>Q1</w:t>
      </w:r>
      <w:r>
        <w:t xml:space="preserve"> A "band-engineering" olyan félvezetőknél alkalmazható kvantum-gödör kialakítására, amelyeknél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a)</w:t>
      </w:r>
      <w:r>
        <w:rPr>
          <w:b/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közel azonos a rácstávolság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közel azonos a tiltott sáv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közel azonos az elektronszerkezet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közel azonos a mobilitás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 xml:space="preserve">Q2 </w:t>
      </w:r>
      <w:r>
        <w:t>Ballisztikus vezetés jön létre olyan elektronrendszerben, ahol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nagy a mobilitás (μ~10</w:t>
      </w:r>
      <w:r>
        <w:rPr>
          <w:color w:val="000000"/>
          <w:vertAlign w:val="superscript"/>
        </w:rPr>
        <w:t>7</w:t>
      </w:r>
      <w:r>
        <w:rPr>
          <w:color w:val="000000"/>
        </w:rPr>
        <w:t xml:space="preserve"> cm</w:t>
      </w:r>
      <w:r>
        <w:rPr>
          <w:color w:val="000000"/>
          <w:vertAlign w:val="superscript"/>
        </w:rPr>
        <w:t>2</w:t>
      </w:r>
      <w:r>
        <w:rPr>
          <w:color w:val="000000"/>
        </w:rPr>
        <w:t>/Vs)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b)</w:t>
      </w:r>
      <w:r>
        <w:rPr>
          <w:color w:val="000000"/>
          <w:sz w:val="14"/>
          <w:szCs w:val="14"/>
        </w:rPr>
        <w:t xml:space="preserve">   </w:t>
      </w:r>
      <w:r>
        <w:rPr>
          <w:b/>
          <w:color w:val="000000"/>
        </w:rPr>
        <w:t>a rendszer mérete kisebb, mint a szabad úthossz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kicsi az effektív tömeg (m</w:t>
      </w:r>
      <w:r>
        <w:rPr>
          <w:color w:val="000000"/>
          <w:vertAlign w:val="subscript"/>
        </w:rPr>
        <w:t>effektív</w:t>
      </w:r>
      <w:r>
        <w:rPr>
          <w:color w:val="000000"/>
        </w:rPr>
        <w:t>~10</w:t>
      </w:r>
      <w:r>
        <w:rPr>
          <w:color w:val="000000"/>
          <w:vertAlign w:val="superscript"/>
        </w:rPr>
        <w:t>-2</w:t>
      </w:r>
      <w:r>
        <w:rPr>
          <w:color w:val="000000"/>
        </w:rPr>
        <w:t>m</w:t>
      </w:r>
      <w:r>
        <w:rPr>
          <w:color w:val="000000"/>
          <w:vertAlign w:val="subscript"/>
        </w:rPr>
        <w:t>elektron</w:t>
      </w:r>
      <w:r>
        <w:rPr>
          <w:color w:val="000000"/>
        </w:rPr>
        <w:t>)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 rendszerben nincs energiacserével járó szórás</w:t>
      </w:r>
    </w:p>
    <w:p w:rsidR="00E231B6" w:rsidRDefault="00B62BD9">
      <w:pPr>
        <w:pStyle w:val="Cmsor4"/>
        <w:tabs>
          <w:tab w:val="left" w:pos="7371"/>
        </w:tabs>
      </w:pPr>
      <w:r>
        <w:rPr>
          <w:b/>
        </w:rPr>
        <w:t>Q1</w:t>
      </w:r>
      <w:r>
        <w:t xml:space="preserve"> A térvezérlésű tranzisztorban a forrás és a nyelő közti 2-dimenziós elektrongáz ... jön létre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kvantummechanikai alagúteffektussal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az elektronok donor atomokról való leszakításával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c)</w:t>
      </w:r>
      <w:r>
        <w:rPr>
          <w:color w:val="000000"/>
          <w:sz w:val="14"/>
          <w:szCs w:val="14"/>
        </w:rPr>
        <w:t xml:space="preserve">   </w:t>
      </w:r>
      <w:r>
        <w:rPr>
          <w:color w:val="000000"/>
          <w:sz w:val="14"/>
          <w:szCs w:val="14"/>
        </w:rPr>
        <w:tab/>
      </w:r>
      <w:r>
        <w:rPr>
          <w:b/>
          <w:color w:val="000000"/>
        </w:rPr>
        <w:t>a kapu alatti félvezető sávszerkezetének módosításával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elektromos térrel injektált töltéshordozók révén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Q2</w:t>
      </w:r>
      <w:r>
        <w:t xml:space="preserve"> A félvezető lézerben a populáció inverziót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a)</w:t>
      </w:r>
      <w:r>
        <w:rPr>
          <w:b/>
          <w:color w:val="000000"/>
          <w:sz w:val="14"/>
          <w:szCs w:val="14"/>
        </w:rPr>
        <w:t xml:space="preserve">  </w:t>
      </w:r>
      <w:r>
        <w:rPr>
          <w:b/>
          <w:color w:val="000000"/>
          <w:sz w:val="14"/>
          <w:szCs w:val="14"/>
        </w:rPr>
        <w:tab/>
      </w:r>
      <w:r>
        <w:rPr>
          <w:b/>
          <w:color w:val="000000"/>
        </w:rPr>
        <w:t>az átfolyó áram biztosítja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 rezonátor tükrök hozzák létre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 Joule-hővel ki</w:t>
      </w:r>
      <w:r>
        <w:rPr>
          <w:color w:val="000000"/>
        </w:rPr>
        <w:t>alakított pumpálás hozza létre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sávok közti elektronátmenet biztosítja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Q3</w:t>
      </w:r>
      <w:r>
        <w:t xml:space="preserve"> A "meleg" fényű világító dióda spektrumát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többféle p-n átmenet együttes alkalmazásával hozzák létre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színszűrőket tartalmazó lámpatest segítségével hozzák létre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foszforeszkáló bevonatú lámpatest segítségével hozzák létre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d)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14"/>
          <w:szCs w:val="14"/>
        </w:rPr>
        <w:tab/>
      </w:r>
      <w:r>
        <w:rPr>
          <w:b/>
          <w:color w:val="000000"/>
        </w:rPr>
        <w:t>fluoreszcens bevonatú lámpatest alkalmazásával hozzák létre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Q4</w:t>
      </w:r>
      <w:r>
        <w:t xml:space="preserve"> A kvantum pötty energianívói ...  miatt alakulnak ki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a)</w:t>
      </w:r>
      <w:r>
        <w:rPr>
          <w:b/>
          <w:color w:val="000000"/>
          <w:sz w:val="14"/>
          <w:szCs w:val="14"/>
        </w:rPr>
        <w:t xml:space="preserve">  </w:t>
      </w:r>
      <w:r>
        <w:rPr>
          <w:b/>
          <w:color w:val="000000"/>
          <w:sz w:val="14"/>
          <w:szCs w:val="14"/>
        </w:rPr>
        <w:tab/>
      </w:r>
      <w:r>
        <w:rPr>
          <w:b/>
          <w:color w:val="000000"/>
        </w:rPr>
        <w:t>az elektron töltésének jól meghatározott értéke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az elektron hullámtermészete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 határozatlansági reláció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 kis méretű tartományban létrejövő kötött állapot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Q5</w:t>
      </w:r>
      <w:r>
        <w:t xml:space="preserve"> Az Intel 2017-ben bemutatta a  ... - nm-es Tri-gate technológiával készült  MosFET-et.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       22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      14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c)</w:t>
      </w:r>
      <w:r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b/>
          <w:color w:val="000000"/>
        </w:rPr>
        <w:t>10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      8</w:t>
      </w:r>
    </w:p>
    <w:p w:rsidR="00E231B6" w:rsidRDefault="00E231B6">
      <w:pPr>
        <w:pStyle w:val="Cmsor4"/>
        <w:tabs>
          <w:tab w:val="left" w:pos="7371"/>
        </w:tabs>
        <w:rPr>
          <w:b/>
        </w:rPr>
      </w:pPr>
    </w:p>
    <w:p w:rsidR="00E231B6" w:rsidRDefault="00B62BD9">
      <w:pPr>
        <w:pStyle w:val="Cmsor4"/>
        <w:tabs>
          <w:tab w:val="left" w:pos="7371"/>
        </w:tabs>
      </w:pPr>
      <w:r>
        <w:rPr>
          <w:b/>
        </w:rPr>
        <w:t>Q1</w:t>
      </w:r>
      <w:r>
        <w:t xml:space="preserve"> A(z)  ...  egyszerre szenzor, transducer és aktuátor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mikrofon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inchworm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PIR mozgásérzékelő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d)</w:t>
      </w:r>
      <w:r>
        <w:rPr>
          <w:color w:val="000000"/>
          <w:sz w:val="14"/>
          <w:szCs w:val="14"/>
        </w:rPr>
        <w:t xml:space="preserve">    </w:t>
      </w:r>
      <w:r>
        <w:rPr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AFM tuning fork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Q2</w:t>
      </w:r>
      <w:r>
        <w:t xml:space="preserve"> Az alábbiak közül a legnagyobb piezoelektromos állandóval rendelkező kristály  a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</w:t>
      </w:r>
      <w:r>
        <w:rPr>
          <w:color w:val="000000"/>
          <w:sz w:val="14"/>
          <w:szCs w:val="14"/>
        </w:rPr>
        <w:tab/>
      </w:r>
      <w:r>
        <w:rPr>
          <w:b/>
          <w:color w:val="000000"/>
        </w:rPr>
        <w:t>PZT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vertAlign w:val="subscript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BaTiO</w:t>
      </w:r>
      <w:r>
        <w:rPr>
          <w:color w:val="000000"/>
          <w:vertAlign w:val="subscript"/>
        </w:rPr>
        <w:t>3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kvarc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vertAlign w:val="subscript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SiO</w:t>
      </w:r>
      <w:r>
        <w:rPr>
          <w:color w:val="000000"/>
          <w:vertAlign w:val="subscript"/>
        </w:rPr>
        <w:t>2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vertAlign w:val="subscript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Q3</w:t>
      </w:r>
      <w:r>
        <w:t xml:space="preserve"> A MEMS gyorsulásérzékelőkben a detektált mechanikai feszültség a cantilever lap vastagságától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lineárisan függ, ε~t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b)</w:t>
      </w:r>
      <w:r>
        <w:rPr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fordítottan arányosan függ, ε~1/t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exponenciálisan függ, ε ~ et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nem függ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Q5</w:t>
      </w:r>
      <w:r>
        <w:t xml:space="preserve"> Az érintőképernyőnél alkalmazott toll nyomásának legérzékenyebb detektálására alkalmas eljárás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 képernyőbe elektródái és a föld közötti kapacitás mérése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 nyomóerő mérése a képernyő cantilever szenzorával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c)</w:t>
      </w:r>
      <w:r>
        <w:rPr>
          <w:color w:val="000000"/>
          <w:sz w:val="14"/>
          <w:szCs w:val="14"/>
        </w:rPr>
        <w:t xml:space="preserve">   </w:t>
      </w:r>
      <w:r>
        <w:rPr>
          <w:b/>
          <w:color w:val="000000"/>
        </w:rPr>
        <w:t>tollba épített rezgőkör elhangolódásának mérése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kölcsönös kapacitás mérése a képernyő elektródái között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Q3</w:t>
      </w:r>
      <w:r>
        <w:t xml:space="preserve"> A független mágn</w:t>
      </w:r>
      <w:r>
        <w:t>eses atomok átlagos mágnesezettségét leíró Brillouin-függvény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M(B) ~ B (lineáris)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M(B) ~ k</w:t>
      </w:r>
      <w:r>
        <w:rPr>
          <w:color w:val="000000"/>
          <w:vertAlign w:val="subscript"/>
        </w:rPr>
        <w:t>B</w:t>
      </w:r>
      <w:r>
        <w:rPr>
          <w:color w:val="000000"/>
        </w:rPr>
        <w:t>T/μ</w:t>
      </w:r>
      <w:r>
        <w:rPr>
          <w:color w:val="000000"/>
          <w:vertAlign w:val="subscript"/>
        </w:rPr>
        <w:t>B</w:t>
      </w:r>
      <w:r>
        <w:rPr>
          <w:color w:val="000000"/>
        </w:rPr>
        <w:t>B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c)</w:t>
      </w:r>
      <w:r>
        <w:rPr>
          <w:b/>
          <w:color w:val="000000"/>
          <w:sz w:val="14"/>
          <w:szCs w:val="14"/>
        </w:rPr>
        <w:t xml:space="preserve">   </w:t>
      </w:r>
      <w:r>
        <w:rPr>
          <w:b/>
          <w:color w:val="000000"/>
        </w:rPr>
        <w:t>nagy terekben telítődik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alakja csak B-től függ (független a hőmérséklettől)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Q4</w:t>
      </w:r>
      <w:r>
        <w:t xml:space="preserve"> A ferromágnesség rácsmodelljében bevezetett Weiss-tér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 szomszédos rácspontokon lévő momentumoktól származik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arányos a telítési mágnesezettséggel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 kritikus hőmérséklet felett nulla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d)</w:t>
      </w:r>
      <w:r>
        <w:rPr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arányos a mágnesezettséggel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Q5</w:t>
      </w:r>
      <w:r>
        <w:t xml:space="preserve"> A merevlemez "merőleges-domén-adatrögzítés" technikáját lehetővé tevő felfedezés a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a)</w:t>
      </w:r>
      <w:r>
        <w:rPr>
          <w:b/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mágneses anizotrópia kutatási területhez tartozik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mágneses hiszterézis kutatási területhez tartozik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a spin-polarizált transzport kutatási területhez ta</w:t>
      </w:r>
      <w:r>
        <w:rPr>
          <w:color w:val="000000"/>
        </w:rPr>
        <w:t>rtozik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óriás mágneses ellenállás (GMR) kutatási területhez tartozik</w:t>
      </w:r>
    </w:p>
    <w:p w:rsidR="00E231B6" w:rsidRDefault="00E231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231B6" w:rsidRDefault="00B62BD9">
      <w:pPr>
        <w:pStyle w:val="Cmsor5"/>
        <w:tabs>
          <w:tab w:val="left" w:pos="7371"/>
        </w:tabs>
      </w:pPr>
      <w:r>
        <w:rPr>
          <w:b/>
        </w:rPr>
        <w:t>Q4</w:t>
      </w:r>
      <w:r>
        <w:t xml:space="preserve"> Az elsőfajú szupravezetők között megfigyelt legnagyobb kritikus mágneses tér nagyságrendje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a)</w:t>
      </w:r>
      <w:r>
        <w:rPr>
          <w:b/>
          <w:color w:val="000000"/>
          <w:sz w:val="14"/>
          <w:szCs w:val="14"/>
        </w:rPr>
        <w:t xml:space="preserve">  </w:t>
      </w:r>
      <w:r>
        <w:rPr>
          <w:b/>
          <w:color w:val="000000"/>
        </w:rPr>
        <w:t>0,1 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1 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       </w:t>
      </w:r>
      <w:r>
        <w:rPr>
          <w:color w:val="000000"/>
        </w:rPr>
        <w:t>10 T</w:t>
      </w:r>
    </w:p>
    <w:p w:rsidR="00E231B6" w:rsidRDefault="00B62B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d)</w:t>
      </w:r>
      <w:r>
        <w:rPr>
          <w:color w:val="000000"/>
          <w:sz w:val="14"/>
          <w:szCs w:val="14"/>
        </w:rPr>
        <w:t xml:space="preserve">      </w:t>
      </w:r>
      <w:r>
        <w:rPr>
          <w:color w:val="000000"/>
        </w:rPr>
        <w:t>100 T</w:t>
      </w:r>
    </w:p>
    <w:sectPr w:rsidR="00E231B6" w:rsidSect="00E231B6"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F2B"/>
    <w:multiLevelType w:val="multilevel"/>
    <w:tmpl w:val="8640C11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21C00"/>
    <w:multiLevelType w:val="multilevel"/>
    <w:tmpl w:val="D50260F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5F55DA"/>
    <w:multiLevelType w:val="multilevel"/>
    <w:tmpl w:val="B274A13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C2150"/>
    <w:multiLevelType w:val="multilevel"/>
    <w:tmpl w:val="4D52B4B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510EA4"/>
    <w:multiLevelType w:val="multilevel"/>
    <w:tmpl w:val="BF70A5D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2B3D5A"/>
    <w:multiLevelType w:val="multilevel"/>
    <w:tmpl w:val="AD82DB0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298B"/>
    <w:multiLevelType w:val="multilevel"/>
    <w:tmpl w:val="F7ECB86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114AC"/>
    <w:multiLevelType w:val="multilevel"/>
    <w:tmpl w:val="6B2851D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75139D"/>
    <w:multiLevelType w:val="multilevel"/>
    <w:tmpl w:val="5A1668C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B32F4C"/>
    <w:multiLevelType w:val="multilevel"/>
    <w:tmpl w:val="633A0C5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A70300"/>
    <w:multiLevelType w:val="multilevel"/>
    <w:tmpl w:val="8878D82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E67E75"/>
    <w:multiLevelType w:val="multilevel"/>
    <w:tmpl w:val="58C6FD20"/>
    <w:lvl w:ilvl="0">
      <w:start w:val="1"/>
      <w:numFmt w:val="decimal"/>
      <w:pStyle w:val="ABC-answer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2EA52F6"/>
    <w:multiLevelType w:val="multilevel"/>
    <w:tmpl w:val="CD888FF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6B491F"/>
    <w:multiLevelType w:val="multilevel"/>
    <w:tmpl w:val="F4B8CC40"/>
    <w:lvl w:ilvl="0">
      <w:start w:val="1"/>
      <w:numFmt w:val="upperLetter"/>
      <w:pStyle w:val="Cmsor3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8C2ED5"/>
    <w:multiLevelType w:val="multilevel"/>
    <w:tmpl w:val="A9BAC16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071FC5"/>
    <w:multiLevelType w:val="multilevel"/>
    <w:tmpl w:val="DDF0F40A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CFD3112"/>
    <w:multiLevelType w:val="multilevel"/>
    <w:tmpl w:val="66FA0460"/>
    <w:lvl w:ilvl="0">
      <w:start w:val="1"/>
      <w:numFmt w:val="decimal"/>
      <w:lvlText w:val="%1."/>
      <w:lvlJc w:val="left"/>
      <w:pPr>
        <w:ind w:left="425" w:hanging="360"/>
      </w:pPr>
    </w:lvl>
    <w:lvl w:ilvl="1">
      <w:start w:val="1"/>
      <w:numFmt w:val="lowerLetter"/>
      <w:lvlText w:val="%2."/>
      <w:lvlJc w:val="left"/>
      <w:pPr>
        <w:ind w:left="850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815AD"/>
    <w:multiLevelType w:val="multilevel"/>
    <w:tmpl w:val="88801EA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BE6564"/>
    <w:multiLevelType w:val="multilevel"/>
    <w:tmpl w:val="F806C58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D627E3C"/>
    <w:multiLevelType w:val="multilevel"/>
    <w:tmpl w:val="235CDEA0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"/>
  </w:num>
  <w:num w:numId="6">
    <w:abstractNumId w:val="14"/>
  </w:num>
  <w:num w:numId="7">
    <w:abstractNumId w:val="12"/>
  </w:num>
  <w:num w:numId="8">
    <w:abstractNumId w:val="0"/>
  </w:num>
  <w:num w:numId="9">
    <w:abstractNumId w:val="7"/>
  </w:num>
  <w:num w:numId="10">
    <w:abstractNumId w:val="15"/>
  </w:num>
  <w:num w:numId="11">
    <w:abstractNumId w:val="17"/>
  </w:num>
  <w:num w:numId="12">
    <w:abstractNumId w:val="9"/>
  </w:num>
  <w:num w:numId="13">
    <w:abstractNumId w:val="16"/>
  </w:num>
  <w:num w:numId="14">
    <w:abstractNumId w:val="5"/>
  </w:num>
  <w:num w:numId="15">
    <w:abstractNumId w:val="10"/>
  </w:num>
  <w:num w:numId="16">
    <w:abstractNumId w:val="2"/>
  </w:num>
  <w:num w:numId="17">
    <w:abstractNumId w:val="4"/>
  </w:num>
  <w:num w:numId="18">
    <w:abstractNumId w:val="6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E231B6"/>
    <w:rsid w:val="00B62BD9"/>
    <w:rsid w:val="00E231B6"/>
    <w:rsid w:val="00F1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4181"/>
  </w:style>
  <w:style w:type="paragraph" w:styleId="Cmsor1">
    <w:name w:val="heading 1"/>
    <w:basedOn w:val="Norml"/>
    <w:next w:val="Norml"/>
    <w:link w:val="Cmsor1Char"/>
    <w:uiPriority w:val="9"/>
    <w:qFormat/>
    <w:rsid w:val="00102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2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02ED9"/>
    <w:pPr>
      <w:keepNext/>
      <w:keepLines/>
      <w:numPr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02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D7F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al"/>
    <w:next w:val="normal"/>
    <w:rsid w:val="00E231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E231B6"/>
  </w:style>
  <w:style w:type="table" w:customStyle="1" w:styleId="TableNormal">
    <w:name w:val="Table Normal"/>
    <w:rsid w:val="00E231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102E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02E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al"/>
    <w:next w:val="normal"/>
    <w:link w:val="AlcmChar"/>
    <w:rsid w:val="00E231B6"/>
    <w:rPr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102ED9"/>
    <w:rPr>
      <w:rFonts w:eastAsiaTheme="minorEastAsia"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102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02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02E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2ED9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102E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elyrzszveg">
    <w:name w:val="Placeholder Text"/>
    <w:basedOn w:val="Bekezdsalapbettpusa"/>
    <w:uiPriority w:val="99"/>
    <w:semiHidden/>
    <w:rsid w:val="00102ED9"/>
    <w:rPr>
      <w:color w:val="808080"/>
    </w:rPr>
  </w:style>
  <w:style w:type="table" w:styleId="Rcsostblzat">
    <w:name w:val="Table Grid"/>
    <w:basedOn w:val="Normltblzat"/>
    <w:uiPriority w:val="39"/>
    <w:rsid w:val="00EA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7D4BA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BA5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uiPriority w:val="9"/>
    <w:rsid w:val="004D7FD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BC-answers">
    <w:name w:val="ABC-answers"/>
    <w:basedOn w:val="Nincstrkz"/>
    <w:qFormat/>
    <w:rsid w:val="00FE216D"/>
    <w:pPr>
      <w:numPr>
        <w:numId w:val="20"/>
      </w:numPr>
      <w:tabs>
        <w:tab w:val="left" w:pos="7371"/>
      </w:tabs>
    </w:pPr>
  </w:style>
  <w:style w:type="paragraph" w:styleId="Nincstrkz">
    <w:name w:val="No Spacing"/>
    <w:uiPriority w:val="1"/>
    <w:qFormat/>
    <w:rsid w:val="00FE21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d+42dxP+nlx/wDhBBNRTk2o5g==">AMUW2mV+br+CLW5kg/00Q7WEl13+Q2JhvT4lKh9JEKQmtoLhD+z9H0jdOWUh/thndgCGU1QFTDrVT7Bncuw6LxuzP6sqm+2QM2/1x+G8eYXbz8wnpVvZWAt7tD0t3BNzbp6muFy4DJAsy37OMa0HBsxC28ub13wXBwgwSpq19vg7T4ENiLZXDUmGMhFS4zUIORdRYN3qlbfYoCcLOVsI1W7CHFgCMzlY7v+ubsUFLSVtWvH1YcZXfMg=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4173</Words>
  <Characters>28799</Characters>
  <Application>Microsoft Office Word</Application>
  <DocSecurity>0</DocSecurity>
  <Lines>239</Lines>
  <Paragraphs>65</Paragraphs>
  <ScaleCrop>false</ScaleCrop>
  <Company/>
  <LinksUpToDate>false</LinksUpToDate>
  <CharactersWithSpaces>32907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Csaba</dc:creator>
  <cp:lastModifiedBy>Szabolcs Lőrincz</cp:lastModifiedBy>
  <cp:revision>2</cp:revision>
  <dcterms:created xsi:type="dcterms:W3CDTF">2020-06-09T16:20:00Z</dcterms:created>
  <dcterms:modified xsi:type="dcterms:W3CDTF">2020-06-09T16:20:00Z</dcterms:modified>
</cp:coreProperties>
</file>