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D4" w:rsidRPr="00113CD7" w:rsidRDefault="00113CD7" w:rsidP="00113CD7">
      <w:pPr>
        <w:pStyle w:val="Cmsor1"/>
        <w:jc w:val="center"/>
        <w:rPr>
          <w:color w:val="auto"/>
          <w:sz w:val="36"/>
          <w:szCs w:val="36"/>
        </w:rPr>
      </w:pPr>
      <w:r w:rsidRPr="00113CD7">
        <w:rPr>
          <w:color w:val="auto"/>
          <w:sz w:val="36"/>
          <w:szCs w:val="36"/>
        </w:rPr>
        <w:t>Világítástechnika felülvizsgálati jegyzőkönyv</w:t>
      </w:r>
    </w:p>
    <w:p w:rsidR="00113CD7" w:rsidRDefault="00113CD7" w:rsidP="00113CD7"/>
    <w:p w:rsidR="00113CD7" w:rsidRPr="001D45E5" w:rsidRDefault="00113CD7" w:rsidP="00113CD7">
      <w:pPr>
        <w:rPr>
          <w:b/>
          <w:sz w:val="28"/>
          <w:szCs w:val="28"/>
        </w:rPr>
      </w:pPr>
      <w:r w:rsidRPr="001D45E5">
        <w:rPr>
          <w:b/>
          <w:sz w:val="28"/>
          <w:szCs w:val="28"/>
        </w:rPr>
        <w:t>9./ A vizsgált berendezés ismertetése</w:t>
      </w:r>
    </w:p>
    <w:p w:rsidR="00F867AA" w:rsidRDefault="00113CD7" w:rsidP="00F867AA">
      <w:pPr>
        <w:ind w:left="284"/>
      </w:pPr>
      <w:r>
        <w:t xml:space="preserve">A vizsgált </w:t>
      </w:r>
      <w:r w:rsidR="00764643">
        <w:t>terem világítása T5 típusú GE fénycsövekkel lett kialakítva. A teremben nem található</w:t>
      </w:r>
      <w:r w:rsidR="00F867AA">
        <w:t xml:space="preserve"> más típusú fényforrás. A teremben nem található vészvilágítás sem. Munkahelyi világításnak számító táblavilágítás </w:t>
      </w:r>
      <w:r w:rsidR="000B19C5">
        <w:t xml:space="preserve">is </w:t>
      </w:r>
      <w:r w:rsidR="00F867AA">
        <w:t>található. Ezt a mérés során nem kapcsoltuk be.</w:t>
      </w:r>
    </w:p>
    <w:p w:rsidR="00F867AA" w:rsidRDefault="00F867AA" w:rsidP="00F867AA">
      <w:pPr>
        <w:ind w:left="284"/>
      </w:pPr>
      <w:r>
        <w:t>A fénycső paraméterei:</w:t>
      </w:r>
    </w:p>
    <w:p w:rsidR="00113CD7" w:rsidRDefault="00F867AA" w:rsidP="00F867AA">
      <w:pPr>
        <w:pStyle w:val="Listaszerbekezds"/>
        <w:numPr>
          <w:ilvl w:val="0"/>
          <w:numId w:val="2"/>
        </w:numPr>
      </w:pPr>
      <w:r>
        <w:t>gyártó: GE</w:t>
      </w:r>
    </w:p>
    <w:p w:rsidR="00F867AA" w:rsidRDefault="00F867AA" w:rsidP="00F867AA">
      <w:pPr>
        <w:pStyle w:val="Listaszerbekezds"/>
        <w:numPr>
          <w:ilvl w:val="0"/>
          <w:numId w:val="2"/>
        </w:numPr>
      </w:pPr>
      <w:r>
        <w:t>típus: T5</w:t>
      </w:r>
    </w:p>
    <w:p w:rsidR="00F867AA" w:rsidRDefault="00F867AA" w:rsidP="00F867AA">
      <w:pPr>
        <w:pStyle w:val="Listaszerbekezds"/>
        <w:numPr>
          <w:ilvl w:val="0"/>
          <w:numId w:val="2"/>
        </w:numPr>
      </w:pPr>
      <w:r>
        <w:t>átmérő: 16mm</w:t>
      </w:r>
    </w:p>
    <w:p w:rsidR="00F867AA" w:rsidRDefault="00F867AA" w:rsidP="00F867AA">
      <w:pPr>
        <w:pStyle w:val="Listaszerbekezds"/>
        <w:numPr>
          <w:ilvl w:val="0"/>
          <w:numId w:val="2"/>
        </w:numPr>
      </w:pPr>
      <w:proofErr w:type="gramStart"/>
      <w:r>
        <w:t>hideg  fehér</w:t>
      </w:r>
      <w:proofErr w:type="gramEnd"/>
      <w:r>
        <w:t xml:space="preserve"> fényű</w:t>
      </w:r>
    </w:p>
    <w:p w:rsidR="00F867AA" w:rsidRDefault="00F867AA" w:rsidP="00F867AA">
      <w:pPr>
        <w:pStyle w:val="Listaszerbekezds"/>
        <w:numPr>
          <w:ilvl w:val="0"/>
          <w:numId w:val="2"/>
        </w:numPr>
      </w:pPr>
      <w:proofErr w:type="gramStart"/>
      <w:r>
        <w:t>színhőmérséklet(</w:t>
      </w:r>
      <w:proofErr w:type="gramEnd"/>
      <w:r>
        <w:t>CCT): 5300K</w:t>
      </w:r>
    </w:p>
    <w:p w:rsidR="00F867AA" w:rsidRDefault="00F867AA" w:rsidP="00F867AA">
      <w:pPr>
        <w:pStyle w:val="Listaszerbekezds"/>
        <w:numPr>
          <w:ilvl w:val="0"/>
          <w:numId w:val="2"/>
        </w:numPr>
      </w:pPr>
      <w:proofErr w:type="spellStart"/>
      <w:proofErr w:type="gramStart"/>
      <w:r>
        <w:t>Szívisszaadás</w:t>
      </w:r>
      <w:proofErr w:type="spellEnd"/>
      <w:r>
        <w:t>(</w:t>
      </w:r>
      <w:proofErr w:type="spellStart"/>
      <w:proofErr w:type="gramEnd"/>
      <w:r>
        <w:t>Ra</w:t>
      </w:r>
      <w:proofErr w:type="spellEnd"/>
      <w:r>
        <w:t xml:space="preserve">): </w:t>
      </w:r>
      <w:r w:rsidR="000B19C5">
        <w:t>85</w:t>
      </w:r>
    </w:p>
    <w:p w:rsidR="000B19C5" w:rsidRDefault="000B19C5" w:rsidP="00F867AA">
      <w:pPr>
        <w:pStyle w:val="Listaszerbekezds"/>
        <w:numPr>
          <w:ilvl w:val="0"/>
          <w:numId w:val="2"/>
        </w:numPr>
      </w:pPr>
      <w:r>
        <w:t>teljesítmény: 28W</w:t>
      </w:r>
    </w:p>
    <w:p w:rsidR="000B19C5" w:rsidRDefault="000B19C5" w:rsidP="00851C42">
      <w:pPr>
        <w:ind w:left="284"/>
      </w:pPr>
      <w:r>
        <w:t xml:space="preserve">A teremben a világítási rendszer </w:t>
      </w:r>
      <w:proofErr w:type="spellStart"/>
      <w:r>
        <w:t>dimmelhető</w:t>
      </w:r>
      <w:proofErr w:type="spellEnd"/>
      <w:r>
        <w:t xml:space="preserve">, szabályozható a fényerősség. Az ablakok </w:t>
      </w:r>
      <w:r w:rsidR="001D45E5">
        <w:t>árnyékoló rendszer segítségével leárnyékolhatók.</w:t>
      </w:r>
    </w:p>
    <w:p w:rsidR="001D45E5" w:rsidRPr="001D45E5" w:rsidRDefault="001D45E5" w:rsidP="001D45E5">
      <w:pPr>
        <w:rPr>
          <w:b/>
          <w:sz w:val="28"/>
          <w:szCs w:val="28"/>
        </w:rPr>
      </w:pPr>
      <w:r w:rsidRPr="001D45E5">
        <w:rPr>
          <w:b/>
          <w:sz w:val="28"/>
          <w:szCs w:val="28"/>
        </w:rPr>
        <w:t>10./ A mérés leírása</w:t>
      </w:r>
    </w:p>
    <w:p w:rsidR="001D45E5" w:rsidRDefault="001D45E5" w:rsidP="001D45E5">
      <w:pPr>
        <w:ind w:left="284"/>
      </w:pPr>
      <w:r>
        <w:t xml:space="preserve"> </w:t>
      </w:r>
      <w:r w:rsidR="00134C17">
        <w:t>A vizsgált terem pontos alaprajzát illetve a fényforrások elhelyezkedését az A1</w:t>
      </w:r>
      <w:proofErr w:type="gramStart"/>
      <w:r w:rsidR="00134C17">
        <w:t>,A2</w:t>
      </w:r>
      <w:proofErr w:type="gramEnd"/>
      <w:r w:rsidR="00134C17">
        <w:t xml:space="preserve"> mellékletek tartalmazzák. A mérés megkezdése előtt becsuktuk az ajtót, felkapcsoltuk világítást maximális fényerősségre, kivéve a táblavilágítást. Az ablakokat az árnyékoló rendszer segítségével árnyékoltuk be.</w:t>
      </w:r>
      <w:r w:rsidR="00851C42">
        <w:t xml:space="preserve"> Így a teremben a mérés idejére a megvilágítást a plafonra függesztett fénycsövek adták.</w:t>
      </w:r>
      <w:r w:rsidR="00A25946">
        <w:t xml:space="preserve"> Mérést az A1 mellékleten zöld </w:t>
      </w:r>
      <w:proofErr w:type="spellStart"/>
      <w:r w:rsidR="00A25946">
        <w:t>X-el</w:t>
      </w:r>
      <w:proofErr w:type="spellEnd"/>
      <w:r w:rsidR="00A25946">
        <w:t xml:space="preserve"> jelölt pontokban végeztünk MINILUX LB műszer segítségé</w:t>
      </w:r>
      <w:r w:rsidR="00896706">
        <w:t>vel, oly módon, hogy a műszert a pontokban helyeztük el.</w:t>
      </w:r>
    </w:p>
    <w:p w:rsidR="00896706" w:rsidRDefault="00896706" w:rsidP="00896706">
      <w:pPr>
        <w:rPr>
          <w:b/>
          <w:sz w:val="28"/>
          <w:szCs w:val="28"/>
        </w:rPr>
      </w:pPr>
      <w:r w:rsidRPr="00896706">
        <w:rPr>
          <w:b/>
          <w:sz w:val="28"/>
          <w:szCs w:val="28"/>
        </w:rPr>
        <w:t>11./ Mért adatok</w:t>
      </w:r>
    </w:p>
    <w:p w:rsidR="00E864C1" w:rsidRDefault="00E864C1" w:rsidP="00E864C1">
      <w:pPr>
        <w:ind w:left="284"/>
      </w:pPr>
      <w:r>
        <w:t xml:space="preserve">Az A1 mellékleten zöld </w:t>
      </w:r>
      <w:proofErr w:type="spellStart"/>
      <w:r>
        <w:t>X-el</w:t>
      </w:r>
      <w:proofErr w:type="spellEnd"/>
      <w:r>
        <w:t xml:space="preserve"> jelölt mérési pontokon a következő </w:t>
      </w:r>
      <w:r w:rsidR="00F64D99">
        <w:t xml:space="preserve">megvilágítás </w:t>
      </w:r>
      <w:r>
        <w:t>értékeket mértük</w:t>
      </w:r>
      <w:r w:rsidR="00F64D99">
        <w:t xml:space="preserve"> </w:t>
      </w:r>
      <w:proofErr w:type="spellStart"/>
      <w:r w:rsidR="00F64D99">
        <w:t>lux-ban</w:t>
      </w:r>
      <w:proofErr w:type="spellEnd"/>
      <w:r>
        <w:t>:</w:t>
      </w:r>
    </w:p>
    <w:tbl>
      <w:tblPr>
        <w:tblStyle w:val="Rcsostblzat"/>
        <w:tblW w:w="3796" w:type="pct"/>
        <w:tblInd w:w="1019" w:type="dxa"/>
        <w:tblLook w:val="04A0"/>
      </w:tblPr>
      <w:tblGrid>
        <w:gridCol w:w="1762"/>
        <w:gridCol w:w="1763"/>
        <w:gridCol w:w="1763"/>
        <w:gridCol w:w="1763"/>
      </w:tblGrid>
      <w:tr w:rsidR="00F64D99" w:rsidTr="00F64D99">
        <w:trPr>
          <w:trHeight w:val="388"/>
        </w:trPr>
        <w:tc>
          <w:tcPr>
            <w:tcW w:w="1249" w:type="pct"/>
            <w:vAlign w:val="center"/>
          </w:tcPr>
          <w:p w:rsidR="00F64D99" w:rsidRDefault="00F64D99" w:rsidP="00F64D99">
            <w:pPr>
              <w:jc w:val="center"/>
            </w:pPr>
            <w:r>
              <w:t>795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841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863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811</w:t>
            </w:r>
          </w:p>
        </w:tc>
      </w:tr>
      <w:tr w:rsidR="00F64D99" w:rsidTr="00F64D99">
        <w:trPr>
          <w:trHeight w:val="388"/>
        </w:trPr>
        <w:tc>
          <w:tcPr>
            <w:tcW w:w="1249" w:type="pct"/>
            <w:vAlign w:val="center"/>
          </w:tcPr>
          <w:p w:rsidR="00F64D99" w:rsidRDefault="00F64D99" w:rsidP="00F64D99">
            <w:pPr>
              <w:jc w:val="center"/>
            </w:pPr>
            <w:r>
              <w:t>821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886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806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772</w:t>
            </w:r>
          </w:p>
        </w:tc>
      </w:tr>
      <w:tr w:rsidR="00F64D99" w:rsidTr="00F64D99">
        <w:trPr>
          <w:trHeight w:val="388"/>
        </w:trPr>
        <w:tc>
          <w:tcPr>
            <w:tcW w:w="1249" w:type="pct"/>
            <w:vAlign w:val="center"/>
          </w:tcPr>
          <w:p w:rsidR="00F64D99" w:rsidRDefault="00F64D99" w:rsidP="00F64D99">
            <w:pPr>
              <w:jc w:val="center"/>
            </w:pPr>
            <w:r>
              <w:t>808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907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877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759</w:t>
            </w:r>
          </w:p>
        </w:tc>
      </w:tr>
      <w:tr w:rsidR="00F64D99" w:rsidTr="00F64D99">
        <w:trPr>
          <w:trHeight w:val="388"/>
        </w:trPr>
        <w:tc>
          <w:tcPr>
            <w:tcW w:w="1249" w:type="pct"/>
            <w:vAlign w:val="center"/>
          </w:tcPr>
          <w:p w:rsidR="00F64D99" w:rsidRDefault="00F64D99" w:rsidP="00F64D99">
            <w:pPr>
              <w:jc w:val="center"/>
            </w:pPr>
            <w:r>
              <w:t>710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643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724</w:t>
            </w:r>
          </w:p>
        </w:tc>
        <w:tc>
          <w:tcPr>
            <w:tcW w:w="1250" w:type="pct"/>
            <w:vAlign w:val="center"/>
          </w:tcPr>
          <w:p w:rsidR="00F64D99" w:rsidRDefault="00F64D99" w:rsidP="00F64D99">
            <w:pPr>
              <w:jc w:val="center"/>
            </w:pPr>
            <w:r>
              <w:t>747</w:t>
            </w:r>
          </w:p>
        </w:tc>
      </w:tr>
    </w:tbl>
    <w:p w:rsidR="00F64D99" w:rsidRDefault="00F64D99" w:rsidP="000B19C5">
      <w:pPr>
        <w:pStyle w:val="Listaszerbekezds"/>
        <w:ind w:left="284"/>
      </w:pPr>
    </w:p>
    <w:p w:rsidR="00C96407" w:rsidRDefault="00F64D99" w:rsidP="00C96407">
      <w:r>
        <w:br w:type="page"/>
      </w:r>
      <w:r w:rsidR="00C96407" w:rsidRPr="00C96407">
        <w:rPr>
          <w:b/>
          <w:sz w:val="28"/>
          <w:szCs w:val="28"/>
        </w:rPr>
        <w:lastRenderedPageBreak/>
        <w:t>12./ Számított értékek</w:t>
      </w:r>
    </w:p>
    <w:p w:rsidR="00F64D99" w:rsidRDefault="00F64D99" w:rsidP="00F64D99">
      <w:pPr>
        <w:ind w:left="284"/>
      </w:pPr>
      <w:r>
        <w:t>Térbeli egyenletességet a mért értékekből számoltunk:</w:t>
      </w:r>
    </w:p>
    <w:p w:rsidR="00F64D99" w:rsidRPr="00D061C7" w:rsidRDefault="00F64D99" w:rsidP="00C96407">
      <w:pPr>
        <w:pStyle w:val="Listaszerbekezds"/>
        <w:numPr>
          <w:ilvl w:val="0"/>
          <w:numId w:val="3"/>
        </w:numPr>
        <w:ind w:left="1003" w:hanging="357"/>
        <w:contextualSpacing w:val="0"/>
        <w:rPr>
          <w:sz w:val="28"/>
        </w:rPr>
      </w:pPr>
      <w:r>
        <w:t xml:space="preserve">Átlag: </w:t>
      </w:r>
      <m:oMath>
        <m:sSub>
          <m:sSubPr>
            <m:ctrlPr>
              <w:rPr>
                <w:rFonts w:ascii="Cambria Math" w:hAnsi="Cambria Math"/>
                <w:i/>
                <w:smallCaps/>
                <w:sz w:val="28"/>
              </w:rPr>
            </m:ctrlPr>
          </m:sSubPr>
          <m:e>
            <m:r>
              <w:rPr>
                <w:rFonts w:ascii="Cambria Math" w:hAnsi="Cambria Math"/>
                <w:smallCaps/>
                <w:sz w:val="28"/>
              </w:rPr>
              <m:t>E</m:t>
            </m:r>
          </m:e>
          <m:sub>
            <m:r>
              <w:rPr>
                <w:rFonts w:ascii="Cambria Math" w:hAnsi="Cambria Math"/>
                <w:smallCaps/>
                <w:sz w:val="28"/>
              </w:rPr>
              <m:t>avg</m:t>
            </m:r>
          </m:sub>
        </m:sSub>
        <m:r>
          <w:rPr>
            <w:rFonts w:ascii="Cambria Math" w:hAnsi="Cambria Math"/>
            <w:smallCaps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mallCaps/>
                <w:sz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mallCaps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mallCaps/>
                    <w:sz w:val="28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mallCaps/>
                    <w:sz w:val="28"/>
                  </w:rPr>
                  <m:t>16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  <w:smallCaps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mallCaps/>
                        <w:sz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mallCaps/>
                        <w:sz w:val="28"/>
                      </w:rPr>
                      <m:t>i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mallCaps/>
                <w:sz w:val="28"/>
              </w:rPr>
              <m:t>16</m:t>
            </m:r>
          </m:den>
        </m:f>
        <m:r>
          <w:rPr>
            <w:rFonts w:ascii="Cambria Math" w:hAnsi="Cambria Math"/>
            <w:smallCaps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mallCaps/>
                <w:sz w:val="28"/>
              </w:rPr>
            </m:ctrlPr>
          </m:fPr>
          <m:num>
            <m:r>
              <w:rPr>
                <w:rFonts w:ascii="Cambria Math" w:hAnsi="Cambria Math"/>
                <w:smallCaps/>
                <w:sz w:val="28"/>
              </w:rPr>
              <m:t>12770</m:t>
            </m:r>
          </m:num>
          <m:den>
            <m:r>
              <w:rPr>
                <w:rFonts w:ascii="Cambria Math" w:hAnsi="Cambria Math"/>
                <w:smallCaps/>
                <w:sz w:val="28"/>
              </w:rPr>
              <m:t>16</m:t>
            </m:r>
          </m:den>
        </m:f>
      </m:oMath>
      <w:r w:rsidR="00D061C7">
        <w:rPr>
          <w:rFonts w:eastAsiaTheme="minorEastAsia"/>
          <w:smallCaps/>
          <w:sz w:val="28"/>
        </w:rPr>
        <w:t>=</w:t>
      </w:r>
      <w:r w:rsidR="00E85B12">
        <w:rPr>
          <w:rFonts w:eastAsiaTheme="minorEastAsia"/>
          <w:smallCaps/>
          <w:sz w:val="28"/>
        </w:rPr>
        <w:t xml:space="preserve"> </w:t>
      </w:r>
      <w:r w:rsidR="00C96407">
        <w:rPr>
          <w:rFonts w:eastAsiaTheme="minorEastAsia"/>
          <w:smallCaps/>
          <w:sz w:val="28"/>
        </w:rPr>
        <w:t>798,1</w:t>
      </w:r>
      <w:r w:rsidR="00C96407" w:rsidRPr="00C96407">
        <w:rPr>
          <w:rFonts w:eastAsiaTheme="minorEastAsia"/>
          <w:sz w:val="28"/>
        </w:rPr>
        <w:t>lux</w:t>
      </w:r>
    </w:p>
    <w:p w:rsidR="00D061C7" w:rsidRPr="00C96407" w:rsidRDefault="00D061C7" w:rsidP="00C96407">
      <w:pPr>
        <w:pStyle w:val="Listaszerbekezds"/>
        <w:numPr>
          <w:ilvl w:val="0"/>
          <w:numId w:val="3"/>
        </w:numPr>
        <w:ind w:left="1003" w:hanging="357"/>
        <w:contextualSpacing w:val="0"/>
      </w:pPr>
      <w:r>
        <w:t xml:space="preserve">A legkisebb érték és az átlag hányadosa: </w:t>
      </w:r>
      <m:oMath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avg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sz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</w:rPr>
              <m:t>643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</w:rPr>
              <m:t>798</m:t>
            </m:r>
          </m:den>
        </m:f>
        <m:r>
          <m:rPr>
            <m:sty m:val="p"/>
          </m:rPr>
          <w:rPr>
            <w:rFonts w:ascii="Cambria Math" w:hAnsi="Cambria Math"/>
            <w:sz w:val="28"/>
          </w:rPr>
          <m:t>=0,81</m:t>
        </m:r>
      </m:oMath>
    </w:p>
    <w:p w:rsidR="00C96407" w:rsidRPr="00C96407" w:rsidRDefault="00C96407" w:rsidP="00C96407">
      <w:pPr>
        <w:pStyle w:val="Listaszerbekezds"/>
        <w:numPr>
          <w:ilvl w:val="0"/>
          <w:numId w:val="3"/>
        </w:numPr>
        <w:ind w:left="1003" w:hanging="357"/>
        <w:contextualSpacing w:val="0"/>
      </w:pPr>
      <w:r>
        <w:t xml:space="preserve">Az átlag és a legnagyobb érték hányadosa: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mallCap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mallCaps/>
                    <w:sz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mallCaps/>
                    <w:sz w:val="28"/>
                  </w:rPr>
                  <m:t>avg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mallCap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mallCaps/>
                    <w:sz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mallCaps/>
                    <w:sz w:val="28"/>
                  </w:rPr>
                  <m:t>max</m:t>
                </m:r>
              </m:sub>
            </m:sSub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798</m:t>
            </m:r>
          </m:num>
          <m:den>
            <m:r>
              <w:rPr>
                <w:rFonts w:ascii="Cambria Math" w:hAnsi="Cambria Math"/>
                <w:sz w:val="28"/>
              </w:rPr>
              <m:t>807</m:t>
            </m:r>
          </m:den>
        </m:f>
        <m:r>
          <w:rPr>
            <w:rFonts w:ascii="Cambria Math" w:hAnsi="Cambria Math"/>
            <w:sz w:val="28"/>
          </w:rPr>
          <m:t>=0,88</m:t>
        </m:r>
      </m:oMath>
    </w:p>
    <w:p w:rsidR="00C96407" w:rsidRPr="00C96407" w:rsidRDefault="00C96407" w:rsidP="00C96407">
      <w:pPr>
        <w:pStyle w:val="Listaszerbekezds"/>
        <w:numPr>
          <w:ilvl w:val="0"/>
          <w:numId w:val="3"/>
        </w:numPr>
        <w:ind w:left="1003" w:hanging="357"/>
        <w:contextualSpacing w:val="0"/>
      </w:pPr>
      <w:r>
        <w:t xml:space="preserve">A legkisebb és legnagyobb érték hányadosa: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mallCap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mallCaps/>
                    <w:sz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mallCaps/>
                    <w:sz w:val="28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mallCaps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mallCaps/>
                    <w:sz w:val="28"/>
                  </w:rPr>
                  <m:t>E</m:t>
                </m:r>
              </m:e>
              <m:sub>
                <m:r>
                  <w:rPr>
                    <w:rFonts w:ascii="Cambria Math" w:hAnsi="Cambria Math"/>
                    <w:smallCaps/>
                    <w:sz w:val="28"/>
                  </w:rPr>
                  <m:t>m</m:t>
                </m:r>
                <m:r>
                  <w:rPr>
                    <w:rFonts w:ascii="Cambria Math" w:hAnsi="Cambria Math"/>
                    <w:smallCaps/>
                    <w:sz w:val="28"/>
                  </w:rPr>
                  <m:t>ax</m:t>
                </m:r>
              </m:sub>
            </m:sSub>
          </m:den>
        </m:f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643</m:t>
            </m:r>
          </m:num>
          <m:den>
            <m:r>
              <w:rPr>
                <w:rFonts w:ascii="Cambria Math" w:hAnsi="Cambria Math"/>
                <w:sz w:val="28"/>
              </w:rPr>
              <m:t>907</m:t>
            </m:r>
          </m:den>
        </m:f>
        <m:r>
          <w:rPr>
            <w:rFonts w:ascii="Cambria Math" w:hAnsi="Cambria Math"/>
            <w:sz w:val="28"/>
          </w:rPr>
          <m:t>=0,71</m:t>
        </m:r>
      </m:oMath>
    </w:p>
    <w:p w:rsidR="00C96407" w:rsidRDefault="00C96407" w:rsidP="00C96407">
      <w:pPr>
        <w:ind w:left="286"/>
      </w:pPr>
      <w:r>
        <w:t xml:space="preserve">Ezen adatokból következik, hogy a </w:t>
      </w:r>
      <w:r w:rsidR="00E85B12">
        <w:t>teremben viszonylag egyenletes a térbeli eloszlás, ez kellemes érzetet kelt az emberben.</w:t>
      </w:r>
    </w:p>
    <w:p w:rsidR="00E85B12" w:rsidRDefault="00E85B12" w:rsidP="00E85B12">
      <w:pPr>
        <w:rPr>
          <w:b/>
          <w:sz w:val="28"/>
          <w:szCs w:val="28"/>
        </w:rPr>
      </w:pPr>
      <w:r w:rsidRPr="00C40BF1">
        <w:rPr>
          <w:b/>
          <w:sz w:val="28"/>
          <w:szCs w:val="28"/>
        </w:rPr>
        <w:t>Összefoglalás</w:t>
      </w:r>
    </w:p>
    <w:p w:rsidR="00C40BF1" w:rsidRDefault="008B0D81" w:rsidP="00C40BF1">
      <w:pPr>
        <w:ind w:left="284"/>
      </w:pPr>
      <w:r>
        <w:t xml:space="preserve">A terem időszakos felülvizsgálatát az MSZ EN 12464-1 szabvány alapján készítettem el. A vizsgált teremben este is folyhat oktatás ezért az előírt megvilágítási érték 500lux. Ennek a kritériumnak az összes fényforrás megfelelt, a fénycsövek megfelelően bevilágítják a termet, nem vakítanak. </w:t>
      </w:r>
      <w:r w:rsidR="00EC45C8">
        <w:t xml:space="preserve">Ezen kívül a fénycsövek eleget tesznek az előírt színhőmérsékleti, színvisszaadási és káprázási értékeknek is. A fénycsövek iránya megegyezik a nézés irányával a káprázást elkerülése érdekében. A számított </w:t>
      </w:r>
      <w:r w:rsidR="004D6EAC">
        <w:t>értékek alapján a térbeli eloszlás egyenletes.</w:t>
      </w:r>
    </w:p>
    <w:p w:rsidR="004D6EAC" w:rsidRPr="00C40BF1" w:rsidRDefault="004D6EAC" w:rsidP="00C40BF1">
      <w:pPr>
        <w:ind w:left="284"/>
      </w:pPr>
      <w:r>
        <w:t xml:space="preserve">Összegzésben elmondható, hogy a terem világítástechnikája minden szempontból megfelel </w:t>
      </w:r>
      <w:proofErr w:type="gramStart"/>
      <w:r>
        <w:t>az  MSZ</w:t>
      </w:r>
      <w:proofErr w:type="gramEnd"/>
      <w:r>
        <w:t xml:space="preserve"> EN 12464-1 szabványnak.</w:t>
      </w:r>
    </w:p>
    <w:sectPr w:rsidR="004D6EAC" w:rsidRPr="00C40BF1" w:rsidSect="0072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A7FB7"/>
    <w:multiLevelType w:val="hybridMultilevel"/>
    <w:tmpl w:val="B46AE314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9513B03"/>
    <w:multiLevelType w:val="hybridMultilevel"/>
    <w:tmpl w:val="4EEE5F9A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5DF6995"/>
    <w:multiLevelType w:val="hybridMultilevel"/>
    <w:tmpl w:val="982683AE"/>
    <w:lvl w:ilvl="0" w:tplc="040E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113CD7"/>
    <w:rsid w:val="000B19C5"/>
    <w:rsid w:val="00113CD7"/>
    <w:rsid w:val="00134C17"/>
    <w:rsid w:val="001D45E5"/>
    <w:rsid w:val="004D6EAC"/>
    <w:rsid w:val="005D359B"/>
    <w:rsid w:val="006333C5"/>
    <w:rsid w:val="007211D4"/>
    <w:rsid w:val="00764643"/>
    <w:rsid w:val="007E194D"/>
    <w:rsid w:val="00851C42"/>
    <w:rsid w:val="00896706"/>
    <w:rsid w:val="008B0D81"/>
    <w:rsid w:val="00A25946"/>
    <w:rsid w:val="00B517B7"/>
    <w:rsid w:val="00BF567A"/>
    <w:rsid w:val="00C40BF1"/>
    <w:rsid w:val="00C96407"/>
    <w:rsid w:val="00D061C7"/>
    <w:rsid w:val="00E85B12"/>
    <w:rsid w:val="00E864C1"/>
    <w:rsid w:val="00EA5CD1"/>
    <w:rsid w:val="00EC45C8"/>
    <w:rsid w:val="00F64D99"/>
    <w:rsid w:val="00F8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11D4"/>
  </w:style>
  <w:style w:type="paragraph" w:styleId="Cmsor1">
    <w:name w:val="heading 1"/>
    <w:basedOn w:val="Norml"/>
    <w:next w:val="Norml"/>
    <w:link w:val="Cmsor1Char"/>
    <w:uiPriority w:val="9"/>
    <w:qFormat/>
    <w:rsid w:val="00113C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13C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aszerbekezds">
    <w:name w:val="List Paragraph"/>
    <w:basedOn w:val="Norml"/>
    <w:uiPriority w:val="34"/>
    <w:qFormat/>
    <w:rsid w:val="00F867AA"/>
    <w:pPr>
      <w:ind w:left="720"/>
      <w:contextualSpacing/>
    </w:pPr>
  </w:style>
  <w:style w:type="table" w:styleId="Rcsostblzat">
    <w:name w:val="Table Grid"/>
    <w:basedOn w:val="Normltblzat"/>
    <w:uiPriority w:val="59"/>
    <w:rsid w:val="00F64D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lyrzszveg">
    <w:name w:val="Placeholder Text"/>
    <w:basedOn w:val="Bekezdsalapbettpusa"/>
    <w:uiPriority w:val="99"/>
    <w:semiHidden/>
    <w:rsid w:val="00F64D9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4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4D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322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xp.forever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2011-05-01T16:05:00Z</dcterms:created>
  <dcterms:modified xsi:type="dcterms:W3CDTF">2011-05-01T18:38:00Z</dcterms:modified>
</cp:coreProperties>
</file>